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4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val="false"/>
          <w:i w:val="false"/>
          <w:caps w:val="false"/>
          <w:smallCaps w:val="false"/>
          <w:sz w:val="20"/>
        </w:rPr>
        <w:t>April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AIxCrypto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4965" w:type="dxa"/>
        <w:jc w:val="left"/>
        <w:tblInd w:w="0" w:type="dxa"/>
        <w:tblLayout w:type="fixed"/>
        <w:tblCellMar>
          <w:top w:w="0" w:type="dxa"/>
          <w:left w:w="0" w:type="dxa"/>
          <w:bottom w:w="28" w:type="dxa"/>
          <w:right w:w="0" w:type="dxa"/>
        </w:tblCellMar>
      </w:tblPr>
      <w:tblGrid>
        <w:gridCol w:w="2210"/>
        <w:gridCol w:w="60"/>
        <w:gridCol w:w="1100"/>
        <w:gridCol w:w="60"/>
        <w:gridCol w:w="153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410"/>
            <w:bookmarkEnd w:id="6"/>
            <w:r>
              <w:rPr>
                <w:rFonts w:ascii="Times New Roman;Times;Serif" w:hAnsi="Times New Roman;Times;Serif"/>
                <w:b/>
                <w:i w:val="false"/>
                <w:caps w:val="false"/>
                <w:smallCaps w:val="false"/>
                <w:sz w:val="20"/>
              </w:rPr>
              <w:t>001-37428</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26-3474527</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1990 E. Grand Avenue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8_edei--EntityAddressCityOrTown_c2"/>
            <w:bookmarkEnd w:id="9"/>
            <w:r>
              <w:rPr>
                <w:rFonts w:ascii="Times New Roman;Times;Serif" w:hAnsi="Times New Roman;Times;Serif"/>
                <w:b/>
                <w:i w:val="false"/>
                <w:caps w:val="false"/>
                <w:smallCaps w:val="false"/>
                <w:sz w:val="20"/>
              </w:rPr>
              <w:t xml:space="preserve">El Segundo, </w:t>
            </w:r>
            <w:bookmarkStart w:id="10" w:name="xdx_90C_edei--EntityAddressStateOrProvin"/>
            <w:bookmarkEnd w:id="10"/>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6_edei--EntityAddressPostalZipCode"/>
            <w:bookmarkEnd w:id="11"/>
            <w:r>
              <w:rPr>
                <w:rFonts w:ascii="Times New Roman;Times;Serif" w:hAnsi="Times New Roman;Times;Serif"/>
                <w:b/>
                <w:i w:val="false"/>
                <w:caps w:val="false"/>
                <w:smallCaps w:val="false"/>
                <w:sz w:val="20"/>
              </w:rPr>
              <w:t>90245</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0_edei--CityAreaCode_c20260410__20"/>
      <w:bookmarkEnd w:id="12"/>
      <w:r>
        <w:rPr>
          <w:rFonts w:ascii="Times New Roman;Times;Serif" w:hAnsi="Times New Roman;Times;Serif"/>
          <w:b/>
          <w:i w:val="false"/>
          <w:caps w:val="false"/>
          <w:smallCaps w:val="false"/>
          <w:sz w:val="20"/>
        </w:rPr>
        <w:t xml:space="preserve">(760) </w:t>
      </w:r>
      <w:bookmarkStart w:id="13" w:name="xdx_905_edei--LocalPhoneNumber_c20260410"/>
      <w:bookmarkEnd w:id="13"/>
      <w:r>
        <w:rPr>
          <w:rFonts w:ascii="Times New Roman;Times;Serif" w:hAnsi="Times New Roman;Times;Serif"/>
          <w:b/>
          <w:i w:val="false"/>
          <w:caps w:val="false"/>
          <w:smallCaps w:val="false"/>
          <w:sz w:val="20"/>
        </w:rPr>
        <w:t>452-8111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8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1_edei--SolicitingMaterial_c202604"/>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0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8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A_edei--Security12bTitle_c20260410"/>
            <w:bookmarkEnd w:id="18"/>
            <w:r>
              <w:rPr>
                <w:rFonts w:ascii="Times New Roman;Times;Serif" w:hAnsi="Times New Roman;Times;Serif"/>
                <w:b w:val="false"/>
                <w:i w:val="false"/>
                <w:caps w:val="false"/>
                <w:smallCaps w:val="false"/>
                <w:sz w:val="20"/>
              </w:rPr>
              <w:t>Common Stock, par value $0.001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60410__2"/>
            <w:bookmarkEnd w:id="19"/>
            <w:r>
              <w:rPr>
                <w:rFonts w:ascii="Times New Roman;Times;Serif" w:hAnsi="Times New Roman;Times;Serif"/>
                <w:b w:val="false"/>
                <w:i w:val="false"/>
                <w:caps w:val="false"/>
                <w:smallCaps w:val="false"/>
                <w:sz w:val="20"/>
              </w:rPr>
              <w:t>AIXC</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of Entrusted Investment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by AIxCrypto Holdings, Inc., a Delaware corporation (the “Company”), in its Current Report on Form 8-K filed with the SEC on February 2, 2026 (the “February 8-K”), the Company entered into an entrusted investment agreement (the “Entrusted Investment Agreement”) with GOLD KING ARTHUR HOLDING LIMITED (“GKA”) and Song Wang (“Song”), under which the Company entrusted to GKA to manage an investment of shares (“FFAI Shares”) of Class A common stock, par value $0.0001 per share (“FFAI Class A Common Stock”), of Faraday Future Intelligent Electric Inc. (“FFAI”), a Delaware corporation with its FFAI Class A Common Stock traded on The Nasdaq Stock Market LLC (“Nasdaq”). Such management would include the potential purchase, holding, tokenization and disposition of the FFAI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2026, the Company, GKA, and Song entered into the first amendment to the entrusted investment agreement (the “First Entrusted Investment Amendment Agreement”), pursuant to which, the Company, GKA, and Song agreed to amend certain terms of the Entrusted Investment Agreement, including but not limited to, the amendment of the definition of the term “FFAI Shares” to include any series of preferred stock of FFAI, the deletion of Section 6 of the Entrusted Investment Agreement providing for a share charge on the shares of GKA held by Song, and the carving out of all equity interests in GKA held by Song from the call option under Section 7.1 of the Entrusted Investment Agreement. On the same day, the Company further entered into the second amendment to the entrusted agreement (the “Second Entrustment Investment Amendment Agreement”), pursuant to which, the Company, GKA, and Song agreed to further amend the definition of the term “FFAI Shares” in the Entrusted Investment Agreement, to additionally include loans, debt instruments, or convertible promissory notes issued by FFAI. Apart from the amendments to the Entrusted Investment Agreement as set out in the First Entrusted Investment Amendment Agreement and Second Entrustment Investment Amendment Agreement, the Entrusted Investment Agreement shall continue to be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of Securities Purchase Agreement Relating to Faraday Future Intelligent Electric Inc.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on the February 8-K, pursuant to the Entrusted Investment Agreement, on January 30, 2026, GKA and FFAI entered into a securities purchase agreement (the “Purchase Agreement”), for the purchase of FFAI Shares at an aggregate consideration of $10,000,000 (the “Subscription Amount”). Pursuant to the Purchase Agreement, the Company agreed to issue certain True-Up Shares (as defined in the Purchase Agreement”) to the Investor in the event of a Dilutive Issuance (as defined in the Purchase Agreement, and such issuance, the “True-Up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2026 (the “Signing Date”), GKA and FFAI entered into an Amended and Restated Securities Purchase Agreement (the “A&amp;R Purchase Agreement”, and collectively with Purchase Agreement, the “SPA”). Pursuant to the SPA, the Subscription Amount was increased to $12 million, $500,000 of which would be used to purchase shares of Class A Common Stock, par value $0.0001 per share (the “Common Shares”) of FFAI, and $11.5 million of which would be used to be purchase a new series of FFAI’s preferred stock, designated to be Series C Convertible Preferred Stock, par value $0.0001 per share, of FFAI (the “Series C Convertible Preferred Stock”, and together with the Common Shares, the “Subject Shares”). The Per Share Purchase Price (as defined in the Purchase Agreement) was revised to $0.26, which is 100% of the average closing price of FFAI’s Class A Common Stock on the Nasdaq Capital Market for the ten (10) Trading Day period immediately prior to the Signing Date (the “Amended Price”). In addition, FFAI’s obligation to issue, and GKA’s right to receive, True-Up Shares was eliminated in its entirety, in consideration of which, FFAI agreed to issue at the closing of the transaction contemplated by the SPA a common stock purchase warrant (the “FFAI Warrant” and collectively with the Subject Shares, the “Securities”), exercisable for an aggregate of 1,000,000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SPA, on April 15, 2026, FFAI filed with the Secretary of State of the State of Delaware a Certificate of Designation of Preferences, Rights and Limitations of Series C Convertible Preferred Stock (the “Certificate of Designation”) to designate 11,502 shares of the Company’s authorized and unissued preferred stock as Series C Convertible Preferred Stock. The Series C Convertible Preferred Stock will be convertible immediately after issuance. The number of shares of Class A Common Stock issuable upon conversion of each Series C Convertible Preferred Stock shall be determined by dividing (x) the stated value of $1,000 of such Series C Convertible Preferred Stock by (y) the conversion price of $0.26 (the “Conversion Formula”), subject to certain adjustments set forth in the Certificate of Designation. In addition, at any time, at the option of the holder of the Series C Convertible Preferred Stock, the holder may voluntarily convert all or part of the Series C Convertible Preferred Stock at the price equal to the lower of (i) the applicable conversion price then in effect and (ii) the greater of (A) $0.13, and (B) 100% of the closing price of the Class A Common Stock of the trading day immediately preceding the delivery of applicable conversion notice (the “Alternative Conversion Price”), indicating that the holder elects to convert all of part of the Series C Convertible Preferred Stock by way of an alternate conversion (the “Alternate Conversion”). The number of shares of Class A Common Stock issuable upon an Alternate Conversion shall be determined by dividing (x) the stated value of $1,000 of such Series C Convertible Preferred Stock by (y) the Alternative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contemplated by the SPA closed on April 15, 2026 and FFAI issued 1,926,337 Class A Common Stock, 11,502 shares of Series C Convertible Preferred Stock and the FFAI Warrant to GKA on the same day.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FFAI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FFAI Warrant has a term of four years from the issuance date and is exercisable immediately after completion of delivery of the 500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FX Super One vehicle to customers by FFAI, at an exercise price of $1.50 per share. The exercise price of the FFAI Warrant is also subject to customary adjustments for stock dividends, stock splits and other subdivisions, combinations and re-classifications. GKA will not have the right to exercise any portion of the FFAI Warrant to the extent that, after giving effect to such exercise, GKA (together with certain related parties) would beneficially own in excess of 9.99% of total number of shares of Class A Common Stock outstanding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before FFAI obtains stockholder approval in connection with the transaction contemplated under the SPA, or the financial viability exception pursuant to Nasdaq Rule 5635(d) for the issuance of the Securities under the SPA, FFAI may not issue upon exercise of the FFAI Warrant a number of shares of Class A Common Stock (the “Warrant Shares”), which, when aggregated with the Subject Shares issued pursuant to the SPA, and the shares issued upon conversion of the Convertible Preferred Stock, if any, subject to adjustment for reverse and forward stock splits, stock dividends, stock combinations, exceed the 19.99% of the total outstanding Class A Common Stock of FFAI as of the date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Loan Agreement and Termination of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SPA, on April 10, 2026, FFAI entered into a loan agreement (the “Loan Agreement”) with GKA, pursuant to which, the FFAI borrowed, and GKA lent FFAI an aggregate of $2,000,000 with the interest accruing at a rate of 10% per annum (the “Loan Amount”). The Loan Amount was provided by the Company to GKA pursuant to Section 3 of the Entrusted Investment Agreement, as amended, and GKA lent the Loan Amount to FFAI as the Company’s fiduciary. The loan matures on the day that is immediately prior to the 1 year anniversary of the date on which the Loan Amount was paid to the Company and is unsecured. Section 8 of the Loan Agreement also provides GKA the right to convert all or part of its Loan Amount into the Subscription Amount (as defined in the SPA) pursuant to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representations, warranties and affirmative and negative covenants. In addition, the Loan Agreement contains customary events of default that entitle GKA to cause FFAI’s indebtedness under the Loan Agreement to become immediately due and payable. Under the Loan Agreement, an event of default will occur if, among other things, FFAI fails to make payments under the Loan Agreement, material breaches by FFAI of any of the provisions under the Loan Agreement, and FFAI entering into bankruptcy proceedings or other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2.1(b) of the SPA provides that GKA and FFAI recognize that Subscription Amount payable by GKA is funded in part by the immediate cancellation and extinguishment of all outstanding principal and accrued interest under the Loan Agreement. Accordingly, pursuant to Section 2.1(b) of the SPA and Section 8 of the Loan Agreement, on April 14, 2026, upon the execution of the A&amp;R Purchase Agreement, the Loan Agreement was deemed terminated in its entirety and of no further force or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Entrusted Investment Agreement, the First Entrusted Investment Amendment Agreement, the Second Entrusted Investment Amendment Agreement, the Purchase Agreement, the A&amp;R Purchase Agreement, the Loan Agreement and the FFAI Warrant do not purport to be complete and are qualified in its entirety by reference to the full text of the Entrusted Investment Agreement and the Purchase Agreement, which were filed as Exhibit 10.2 and 10.3 to the February 8-K, respectively, and incorporated herein by reference, and the full text of the First Entrusted Investment Amendment Agreement, the Second Entrusted Investment Amendment Agreement, the A&amp;R Purchase Agreement, the Loan Agreement and the FFAI Warrant which are filed as Exhibits 10.1, 10.2, 10.3, 10.4 and 4.1 to this Current Report on Form 8-K, respectively,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54"/>
        <w:gridCol w:w="60"/>
        <w:gridCol w:w="9291"/>
      </w:tblGrid>
      <w:tr>
        <w:trPr/>
        <w:tc>
          <w:tcPr>
            <w:tcW w:w="854"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1"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w:t>
            </w:r>
          </w:p>
        </w:tc>
      </w:tr>
      <w:tr>
        <w:trPr/>
        <w:tc>
          <w:tcPr>
            <w:tcW w:w="85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91" w:type="dxa"/>
            <w:tcBorders/>
            <w:shd w:fill="CCEEFF" w:val="clear"/>
            <w:tcMar>
              <w:bottom w:w="0" w:type="dxa"/>
            </w:tcMar>
            <w:vAlign w:val="center"/>
          </w:tcPr>
          <w:p>
            <w:pPr>
              <w:pStyle w:val="TableContents"/>
              <w:bidi w:val="0"/>
              <w:spacing w:before="0" w:after="283"/>
              <w:jc w:val="both"/>
              <w:rPr/>
            </w:pPr>
            <w:hyperlink w:anchor="ex4-1.htm">
              <w:r>
                <w:rPr>
                  <w:rStyle w:val="InternetLink"/>
                  <w:rFonts w:ascii="Times New Roman;Times;Serif" w:hAnsi="Times New Roman;Times;Serif"/>
                  <w:b w:val="false"/>
                  <w:i w:val="false"/>
                  <w:caps w:val="false"/>
                  <w:smallCaps w:val="false"/>
                  <w:sz w:val="20"/>
                </w:rPr>
                <w:t>Common Stock Purchase Warrant issued by FARADAY FUTURE INTELLIGENT ELECTRIC INC., dated April 15, 2026.</w:t>
              </w:r>
            </w:hyperlink>
          </w:p>
        </w:tc>
      </w:tr>
      <w:tr>
        <w:trPr/>
        <w:tc>
          <w:tcPr>
            <w:tcW w:w="854"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91" w:type="dxa"/>
            <w:tcBorders/>
            <w:shd w:fill="FFFFFF" w:val="clear"/>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First Amendment to the Entrusted Investment Agreement, dated April 10, 2026, by and between AIxCrypto Holdings, Inc., GOLD KING ARTHUR HOLDING LIMITED and Song Wang.</w:t>
              </w:r>
            </w:hyperlink>
          </w:p>
        </w:tc>
      </w:tr>
      <w:tr>
        <w:trPr/>
        <w:tc>
          <w:tcPr>
            <w:tcW w:w="85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1" w:type="dxa"/>
            <w:tcBorders/>
            <w:shd w:fill="CCEEFF" w:val="clear"/>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Second Amendment to the Entrusted Investment Agreement, dated April 10, 2026, by and between AIxCrypto Holdings, Inc., GOLD KING ARTHUR HOLDING LIMITED and Song Wang.</w:t>
              </w:r>
            </w:hyperlink>
          </w:p>
        </w:tc>
      </w:tr>
      <w:tr>
        <w:trPr/>
        <w:tc>
          <w:tcPr>
            <w:tcW w:w="85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1" w:type="dxa"/>
            <w:tcBorders/>
            <w:shd w:fill="FFFFFF" w:val="clear"/>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A&amp;R Purchase Agreement, dated April 14, 2026, by and between FARADAY FUTURE INTELLIGENT ELECTRIC INC. and GOLD KING ARTHUR HOLDING LIMITED.</w:t>
              </w:r>
            </w:hyperlink>
          </w:p>
        </w:tc>
      </w:tr>
      <w:tr>
        <w:trPr/>
        <w:tc>
          <w:tcPr>
            <w:tcW w:w="85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1" w:type="dxa"/>
            <w:tcBorders/>
            <w:shd w:fill="CCEEFF" w:val="clear"/>
            <w:tcMar>
              <w:bottom w:w="0" w:type="dxa"/>
            </w:tcMar>
            <w:vAlign w:val="center"/>
          </w:tcPr>
          <w:p>
            <w:pPr>
              <w:pStyle w:val="TableContents"/>
              <w:bidi w:val="0"/>
              <w:spacing w:before="0" w:after="283"/>
              <w:jc w:val="both"/>
              <w:rPr/>
            </w:pPr>
            <w:hyperlink w:anchor="ex10-4.htm">
              <w:r>
                <w:rPr>
                  <w:rStyle w:val="InternetLink"/>
                  <w:rFonts w:ascii="Times New Roman;Times;Serif" w:hAnsi="Times New Roman;Times;Serif"/>
                  <w:b w:val="false"/>
                  <w:i w:val="false"/>
                  <w:caps w:val="false"/>
                  <w:smallCaps w:val="false"/>
                  <w:sz w:val="20"/>
                </w:rPr>
                <w:t>Loan Agreement, dated April 10, 2026, by and between FARADAY FUTURE INTELLIGENT ELECTRIC INC. and GOLD KING ARTHUR HOLDING LIMITED.</w:t>
              </w:r>
            </w:hyperlink>
          </w:p>
        </w:tc>
      </w:tr>
      <w:tr>
        <w:trPr/>
        <w:tc>
          <w:tcPr>
            <w:tcW w:w="85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schedules and exhibits to this Exhibit have been omitted pursuant to Regulation S-K Item 601(a)(5). The Registrant agrees to furnish supplementally a copy of any omitted schedule or exhibit to the SEC upon request.</w:t>
      </w:r>
    </w:p>
    <w:p>
      <w:pPr>
        <w:pStyle w:val="TextBody"/>
        <w:bidi w:val="0"/>
        <w:spacing w:before="0" w:after="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4185" w:type="dxa"/>
        <w:jc w:val="left"/>
        <w:tblInd w:w="0" w:type="dxa"/>
        <w:tblLayout w:type="fixed"/>
        <w:tblCellMar>
          <w:top w:w="0" w:type="dxa"/>
          <w:left w:w="0" w:type="dxa"/>
          <w:bottom w:w="0" w:type="dxa"/>
          <w:right w:w="0" w:type="dxa"/>
        </w:tblCellMar>
      </w:tblPr>
      <w:tblGrid>
        <w:gridCol w:w="1700"/>
        <w:gridCol w:w="590"/>
        <w:gridCol w:w="1895"/>
      </w:tblGrid>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16,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Koti Meka</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Koti Meka</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caps w:val="false"/>
          <w:smallCaps w:val="false"/>
        </w:rPr>
      </w:pPr>
      <w:bookmarkStart w:id="22" w:name="ex4-1.htm"/>
      <w:bookmarkStart w:id="23" w:name="ksex41"/>
      <w:bookmarkEnd w:id="22"/>
      <w:bookmarkEnd w:id="23"/>
      <w:r>
        <w:rPr>
          <w:caps w:val="false"/>
          <w:smallCaps w:val="false"/>
        </w:rPr>
        <w:t> </w:t>
      </w:r>
      <w:r>
        <w:br w:type="page"/>
      </w:r>
    </w:p>
    <w:p>
      <w:pPr>
        <w:pStyle w:val="TextBody"/>
        <w:bidi w:val="0"/>
        <w:ind w:left="144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OR PURSUANT TO AN AVAILABLE EXEMPTION FROM, OR IN A TRANSACTION NOT SUBJECT TO, THE REGISTRATION REQUIREMENTS OF THE SECURITIES ACT AND IN ACCORDANCE WITH APPLICABLE STATE SECURITIES LAWS AS EVIDENCED BY AN OPINION OF COUNSEL REASONABLY SATISFACTORY TO THE COMPANY. THIS SECURITY AND THE SECURITIES ISSUABLE UPON EXERCISE OF THIS SECURITY HAVE BEEN ACQUIRED FOR INVESTMENT AND NOT WITH A VIEW TO, OR IN CONNECTION WITH, THE SALE OR DISTRIBUTION THEREOF. THIS SECURITY AND THE SECURITIES ISSUABLE UPON EXERCISE OF THIS SECURITY MAY BE PLEDGED IN CONNECTION WITH A BONA FIDE MARGIN ACCOUNT OR OTHER LOAN SECURED BY SUCH SECURITIES.</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PURCHASE WARRANT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FARADAY FUTURE INTELLIGENT ELECTRIC INC.</w:t>
      </w:r>
    </w:p>
    <w:p>
      <w:pPr>
        <w:pStyle w:val="TextBody"/>
        <w:bidi w:val="0"/>
        <w:jc w:val="center"/>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180"/>
        <w:gridCol w:w="2435"/>
      </w:tblGrid>
      <w:tr>
        <w:trPr/>
        <w:tc>
          <w:tcPr>
            <w:tcW w:w="218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1,000,000</w:t>
            </w:r>
          </w:p>
        </w:tc>
        <w:tc>
          <w:tcPr>
            <w:tcW w:w="24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April 15, 2026</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Gold King Arthur Holding Limited or its permitted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after the Benchmark Date (as defined below) and on or prior to 5:00 p.m. (New York City time) on April 15, 2030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but not thereafter, to subscribe for and purchase from Faraday Future Intelligent Electric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1,000,000 shares of Common Stock (as defined below)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The purchase price of one share of Common Stock under this Warrant shall be equal to the Exercise Price, as defined in Section 2(b).</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but not defined in this Section 1 or elsewhere in this Warrant shall have the meanings set forth in that certain Securities Purchase Agreement, dated as of January 30, 2026, by and among the Company and the Purchaser set forth on the signature page thereto (as amended,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Date</w:t>
      </w:r>
      <w:r>
        <w:rPr>
          <w:rFonts w:ascii="Times New Roman;Times;Serif" w:hAnsi="Times New Roman;Times;Serif"/>
          <w:b w:val="false"/>
          <w:i w:val="false"/>
          <w:caps w:val="false"/>
          <w:smallCaps w:val="false"/>
          <w:sz w:val="20"/>
        </w:rPr>
        <w:t>” means the date on which the Company completes delivery of the 500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FX Super One vehicle to customers.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Saturday, Sunday and any day which shall be a federal legal holiday in the United States or a day on which the Federal Reserve Bank of New York is closed and/or any of the following exchanges on which the Common Stock is traded and listed, or any successor(s) thereto, is not open for at least five (5) hours of trading: the Nasdaq Capital Market; the Nasdaq Global Market; the Nasdaq Global Select Market; the New York Stock Exchange; or the NYSE American; and any successor to any of the foregoing markets or exchanges.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Bid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Trading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Trading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cannot be calculated for a security on a particular date on any of the foregoing bases, the Closing Bid Price of such security on such date shall be the fair market value as mutually determined by the Company and the Holder. All such determinations shall be appropriately adjusted for any stock dividend, stock split, stock combination or other similar transaction during such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Class A Common Stock of the Company, par value $0.0001 per share.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shall have the meaning ascribed to such term in Section 3(c) hereunder.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similar restriction.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has the meaning ascribed to such term in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Common Stock is traded on a Trading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MKT, the Nasdaq Capital Market, the Nasdaq Global Market or the Nasdaq Global Select Market, the New York Stock Exchange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the transfer agent of the Company, if any, and any successor transfer agent of the Company.</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following the date the Company, or any Successor Entity to the Company, is listed for trading on a Trading Market, the price determined by the first of the following clauses that applies: (a) if the Common Stock is then listed or quoted on a Trading Market, the daily volume weighted average price of the Common Stock for such date (or, with respect to Section 3(c), the twenty (20) Trading Days prior to such calculation) (or the nearest preceding date) on the Trading Market on which the Common Stock is then listed or quoted as reported by Bloomberg L.P. (“</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(based on a Trading Day from 9:30 a.m. (New York City time) to 4:02 p.m. (New York City time)), (b) if OTCQB or OTCQX is not a Trading Market, the volume weighted average price of the Common Stock for such date (or, with respect to Section 3(c), the twenty (20) Trading Days prior to such calculation)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volume weighted average trading price per share of the Common Stock so reported (or, with respect to Section 3(c), the twenty (20) Trading Days prior to such calculation), or (d) in all other cases, the fair market value of a share of Common Stock as reasonably and in good faith determined by the Board of Directors; provided that if the Holder disagrees with the Board of Directors’ determination pursuant to clause (d) above, the Holder and the Company shall reasonably and in good faith select an independent appraiser, the fees and expenses of which shall be split by the Company and the Holder, to make such determination.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Benchmark Date and on or before the Expiration Date by delivery to the Company (or such other office or agency of the Company as it may designate by notice in writing to the registered Holder at the address of the Holder appearing on the books of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two (2) Trading Days following the date of exercise as aforesaid, the Holder shall deliver the aggregate Exercise Price for the shares specified in the applicable Notice of Exercise by wire transfer or cashier’s check drawn on a United States bank.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The Holder and any permitted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per share of Common Stock under this Warrant shall mean, subject to adjustment as provided herein, $1.50.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issuance of the Warrant Shares to the Holder 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0"/>
        <w:gridCol w:w="985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 </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applicable: (i) the VWAP on the Trading Day immediately preceding the date of the applicable Notice of Exercise if such Notice of Exercise is (1) both executed and delivered pursuant to Section 2.1 hereof on a day that is not a Trading Day or (2) both executed and delivered pursuant to Section 2.1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72"/>
        <w:gridCol w:w="9773"/>
      </w:tblGrid>
      <w:tr>
        <w:trPr/>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w:t>
            </w:r>
          </w:p>
        </w:tc>
        <w:tc>
          <w:tcPr>
            <w:tcW w:w="97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of this Warrant, as adjusted hereunder; and</w:t>
            </w:r>
          </w:p>
        </w:tc>
      </w:tr>
      <w:tr>
        <w:trPr/>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both"/>
              <w:rPr/>
            </w:pPr>
            <w:r>
              <w:rPr/>
              <w:t> </w:t>
            </w:r>
          </w:p>
        </w:tc>
        <w:tc>
          <w:tcPr>
            <w:tcW w:w="977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both"/>
              <w:rPr/>
            </w:pPr>
            <w:r>
              <w:rPr>
                <w:rFonts w:ascii="Times New Roman;Times;Serif" w:hAnsi="Times New Roman;Times;Serif"/>
                <w:sz w:val="20"/>
              </w:rPr>
              <w:t>(X) =</w:t>
            </w:r>
            <w:r>
              <w:rPr/>
              <w:t xml:space="preserve"> </w:t>
            </w:r>
          </w:p>
        </w:tc>
        <w:tc>
          <w:tcPr>
            <w:tcW w:w="97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on the Expiration Date, this Warrant shall be automatically exercised via cashless exercise pursuant to this Section 2(c).</w:t>
      </w:r>
    </w:p>
    <w:p>
      <w:pPr>
        <w:pStyle w:val="TextBody"/>
        <w:bidi w:val="0"/>
        <w:spacing w:before="0" w:after="0"/>
        <w:ind w:left="2160" w:right="0" w:firstLine="720"/>
        <w:jc w:val="both"/>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185"/>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permitted assignee’s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Holder or (B) the Warrant Shares are eligible for resale by the Holder without volume or manner-of-sale limitations pursuant to Rule 144, or otherwise by physical delivery of a certificate, registered in the Company’s share register in the name of the Holder or its permitted assignee, for the number of Warrant Shares to which the Holder is entitled pursuant to such exercise to the address specified by the Holder in the Notice of Exercise by the date that is one (1) Trading Day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payment of the aggregate Exercise Price is received within two (2) Trading Days following delivery of the Notice of Exercise. If the Company is then a participant in DWAC and there is an effective registration statement permitting the issuance of the Warrant Shares to or resale of the Warrant Shares by Holder and the Company fails for any reason to deliver to the Holder the Warrant Shares subject to a Notice of Exercise by the 3rd Trading Day following the Warrant Share Delivery Date, the Company shall pay to the Holder, in cash, as liquidated damages and not as a penalty, for each $1,000 of Warrant Shares subject to such exercise (based on the VWAP of the Common Stock on the date of the applicable Notice of Exercise), $5 per Trading Day for each Trading Day after such 3rd Trading Day following the Warrant Share Delivery Date until such Warrant Shares are delivered or Holder rescinds such exercise. The Company agrees to use commercially reasonable efforts to maintain a transfer agent that is a participant in the FAST program so long as this Warrant remains outstanding and exercisable.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3rd Trading Day following the Warrant Share Delivery Date, then the Holder will have the right to rescind such exercise.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3rd Trading Day following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of any permitted transferee(s)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processing of any Notice of Exercise and all fees to the Depository Trust Company (or another established clearing corporation performing similar functions) required for delivery of the Warrant Shares.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2160" w:right="0" w:firstLine="720"/>
        <w:jc w:val="both"/>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w:t>
            </w:r>
          </w:p>
        </w:tc>
      </w:tr>
    </w:tbl>
    <w:p>
      <w:pPr>
        <w:pStyle w:val="TextBody"/>
        <w:bidi w:val="0"/>
        <w:spacing w:before="0" w:after="0"/>
        <w:ind w:left="3804" w:right="0" w:hanging="204"/>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or instruments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reasonable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request of a Holder, the Company shall within three (3) Trading Days confirm in writing to the Holder the number of shares of Common Stock then outstanding. In any case, the number of outstanding shares of Common Stock shall be determined after giving effect to the conversion or exercise of securities or instruments of the Company, including this Warrant,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permitted successor holder of this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Issuer shall not effect any exercise of this Warrant, and a Holder shall not have the right to exercise any portion of this Warrant, to the extent that after giving effect to the exercise set forth on the applicable Notice of Exercise, the Issuer would not have a sufficient number of authorized shares of Common Stock to effect such exercise (an “</w:t>
      </w:r>
      <w:r>
        <w:rPr>
          <w:rFonts w:ascii="Times New Roman;Times;Serif" w:hAnsi="Times New Roman;Times;Serif"/>
          <w:b w:val="false"/>
          <w:i w:val="false"/>
          <w:caps w:val="false"/>
          <w:smallCaps w:val="false"/>
          <w:sz w:val="20"/>
          <w:u w:val="single"/>
        </w:rPr>
        <w:t>Authorized Share Shortfall</w:t>
      </w:r>
      <w:r>
        <w:rPr>
          <w:rFonts w:ascii="Times New Roman;Times;Serif" w:hAnsi="Times New Roman;Times;Serif"/>
          <w:b w:val="false"/>
          <w:i w:val="false"/>
          <w:caps w:val="false"/>
          <w:smallCaps w:val="false"/>
          <w:sz w:val="20"/>
        </w:rPr>
        <w:t>”). The Issuer shall provide reasonably prompt notice to the Holder in the event of an Authorized Share Shortfall.</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Issuance Restrictions</w:t>
      </w:r>
      <w:r>
        <w:rPr>
          <w:rFonts w:ascii="Times New Roman;Times;Serif" w:hAnsi="Times New Roman;Times;Serif"/>
          <w:b w:val="false"/>
          <w:i w:val="false"/>
          <w:caps w:val="false"/>
          <w:smallCaps w:val="false"/>
          <w:sz w:val="20"/>
        </w:rPr>
        <w:t>. If the Company has not obtained stockholders’ approval to the transaction contemplated under the Purchase Agreement or the financial viability exception pursuant to Nasdaq Rule 5635(d) for the issuance of the Securities under the Purchase Agreement, then the Company may not issue upon exercise of this Warrant a number of shares of Common Stock, which, when aggregated with the Shares issued pursuant to the Purchase Agreement, subject to adjustment for reverse and forward stock splits, stock dividends, stock combinations and other similar transactions of the Common Stock that occur after the date of the Purchase Agreement, exceed the 19.99% of the total outstanding Common Stock of the Company as of the date of the Purchase Agreement (such number of shares, the “</w:t>
      </w:r>
      <w:r>
        <w:rPr>
          <w:rFonts w:ascii="Times New Roman;Times;Serif" w:hAnsi="Times New Roman;Times;Serif"/>
          <w:b w:val="false"/>
          <w:i w:val="false"/>
          <w:caps w:val="false"/>
          <w:smallCaps w:val="false"/>
          <w:sz w:val="20"/>
          <w:u w:val="single"/>
        </w:rPr>
        <w:t>Issuable Maximum</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share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unaffiliated Person or group of unaffiliated Persons, (ii) the Company, directly or indirectly, effects any sale, lease, license, assignment, transfer, conveyance or other disposition of all or substantially all of its assets in one or a series of related transactions to another unaffiliated Person or group of unaffiliated Persons, (iii) any direct or indirect, purchase offer, tender offer or exchange offer (by another unaffiliated Person or group of unaffiliated Persons)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in connection with a transaction involving an unaffiliated Person or group of unaffiliated Persons, or (v) the Company, directly or indirectly, in one or more related transactions consummates a stock or share purchase agreement or other business combination (including, without limitation, a reorganization, recapitalization, spin-off or scheme of arrangement) with another unaffiliated Person or group of unaffiliated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3150" w:right="0" w:hanging="27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provides to the Company an opinion of counsel, the form and substance of which opinion shall be reasonably satisfactory to the Company, to the effect that the transfer of this Warrant does not require registration under the Securities Act.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intentionally avoid or intentionally seek to avoid the observance or performance of any of the terms of this Warrant, but will at all times in good faith assist in the carrying out of all such terms and in the taking of all such actions as may be reasonably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commercially reasonable actions in order that the Company may validly and legally issue fully paid and nonassessable Warrant Shares (or Alternative Consideration after a Fundamental Transaction)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Exercise Price, the Company shall use commercially reasonable efforts to obtain all such authorizations or exemptions thereof, or consents thereto, as may be necessary from any public regulatory body or bodies having jurisdiction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CFIUS</w:t>
      </w:r>
      <w:r>
        <w:rPr>
          <w:rFonts w:ascii="Times New Roman;Times;Serif" w:hAnsi="Times New Roman;Times;Serif"/>
          <w:b w:val="false"/>
          <w:i w:val="false"/>
          <w:caps w:val="false"/>
          <w:smallCaps w:val="false"/>
          <w:sz w:val="20"/>
        </w:rPr>
        <w:t>. Notwithstanding anything to the contrary, at no time shall the Holder (a) be given rights that would allow it to control the Company; (b) have access to any material nonpublic technical information in the possession of the Company; (c) have the right to appoint any member or observer to the board of directors of the Company; or (d) be involved, other than through voting of shares, in the Company’s substantive decision making regarding (i) the use, development, acquisition, safekeeping, or release of sensitive personal data of U.S. citizens that the Company maintains or collects; (ii) the use, development, acquisition, or release of critical technologies; or (iii) the management, operation, manufacture, or supply of covered investment critical infrastructure, to the extent the Company at any time owns, operates, provides goods or service, or otherwise becomes involved in covered investment critical infrastructure. The terms in this paragraph are defined as they are defined in Section 721 of the U.S. Defense Production Act of 1950, as amended, and the regulations at 31 C.F.R Part 800, as they may be amended from time to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WARRANT, AND ALL MATTERS RELATING HERETO OR ARISING HEREFROM (WHETHER SOUNDING IN CONTRACT LAW, TORT LAW OR OTHERWISE), SHALL BE GOVERNED BY, AND SHALL BE CONSTRUED AND ENFORCED IN ACCORDANCE WITH, THE LAWS OF THE STATE OF NEW YORK, WITHOUT REGARD TO CONFLICTS OF LAWS PRINCIPLES. EACH PARTY HERETO HEREBY CONSENTS TO THE JURISDICTION OF ANY STATE OR FEDERAL COURT LOCATED WITHIN NEW YORK CITY, STATE OF NEW YORK AND IRREVOCABLY AGREES THAT, ALL ACTIONS OR PROCEEDINGS ARISING OUT OF OR RELATING TO THIS AMENDMENT SHALL BE LITIGATED IN SUCH COURTS. EACH PARTY HERETO EXPRESSLY SUBMITS AND CONSENTS TO THE JURISDICTION OF THE AFORESAID COURTS AND WAIVES ANY DEFENSE OF FORUM NON CONVENIENS.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will have restrictions upon resale imposed by state and federal securities laws.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Nonwaiver</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the address set forth above </w:t>
      </w:r>
      <w:r>
        <w:rPr>
          <w:rFonts w:ascii="Times New Roman;Times;Serif" w:hAnsi="Times New Roman;Times;Serif"/>
          <w:b/>
          <w:i w:val="false"/>
          <w:caps w:val="false"/>
          <w:smallCaps w:val="false"/>
          <w:sz w:val="20"/>
        </w:rPr>
        <w:t>Attention: Legal Department</w:t>
      </w:r>
      <w:r>
        <w:rPr>
          <w:rFonts w:ascii="Times New Roman;Times;Serif" w:hAnsi="Times New Roman;Times;Serif"/>
          <w:b w:val="false"/>
          <w:i w:val="false"/>
          <w:caps w:val="false"/>
          <w:smallCaps w:val="false"/>
          <w:sz w:val="20"/>
        </w:rPr>
        <w:t>, email address Legal@ff.com,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of such Holder appearing on the books of the Company, or if no such email address appears on the books of the Company. Any notice or other communication or deliveries hereunder shall be deemed given and effective on the earliest of (i) the date of transmission, if such notice or communication is delivered via email at the email address set forth in this Section prior to 5:30 p.m. (New York City time) on any date, (ii) the next Trading Day after the date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seek specific performance of its rights under this Warrant. The Company agrees that monetary damages may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permitted Holder from time to time of this Warrant and shall be enforceable by such Holder or holder of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jc w:val="center"/>
        <w:rPr>
          <w:caps w:val="false"/>
          <w:smallCaps w:val="false"/>
        </w:rPr>
      </w:pPr>
      <w:r>
        <w:rPr>
          <w:caps w:val="false"/>
          <w:smallCaps w:val="false"/>
        </w:rPr>
        <w:t> </w:t>
      </w:r>
    </w:p>
    <w:tbl>
      <w:tblPr>
        <w:tblW w:w="4804" w:type="dxa"/>
        <w:jc w:val="left"/>
        <w:tblInd w:w="0" w:type="dxa"/>
        <w:tblLayout w:type="fixed"/>
        <w:tblCellMar>
          <w:top w:w="0" w:type="dxa"/>
          <w:left w:w="0" w:type="dxa"/>
          <w:bottom w:w="0" w:type="dxa"/>
          <w:right w:w="0" w:type="dxa"/>
        </w:tblCellMar>
      </w:tblPr>
      <w:tblGrid>
        <w:gridCol w:w="75"/>
        <w:gridCol w:w="1335"/>
        <w:gridCol w:w="3394"/>
      </w:tblGrid>
      <w:tr>
        <w:trPr/>
        <w:tc>
          <w:tcPr>
            <w:tcW w:w="7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FARADAY FUTURE INTELLIGENT ELECTRIC INC.</w:t>
            </w:r>
          </w:p>
        </w:tc>
      </w:tr>
      <w:tr>
        <w:trPr/>
        <w:tc>
          <w:tcPr>
            <w:tcW w:w="7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39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Jiawei Wang</w:t>
            </w:r>
          </w:p>
        </w:tc>
      </w:tr>
      <w:tr>
        <w:trPr/>
        <w:tc>
          <w:tcPr>
            <w:tcW w:w="75" w:type="dxa"/>
            <w:tcBorders/>
            <w:vAlign w:val="center"/>
          </w:tcPr>
          <w:p>
            <w:pPr>
              <w:pStyle w:val="TableContents"/>
              <w:bidi w:val="0"/>
              <w:spacing w:before="0" w:after="283"/>
              <w:jc w:val="left"/>
              <w:rPr/>
            </w:pPr>
            <w:r>
              <w:rPr/>
              <w:t> </w:t>
            </w:r>
          </w:p>
        </w:tc>
        <w:tc>
          <w:tcPr>
            <w:tcW w:w="1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Jiawei Wang</w:t>
            </w:r>
          </w:p>
        </w:tc>
      </w:tr>
      <w:tr>
        <w:trPr/>
        <w:tc>
          <w:tcPr>
            <w:tcW w:w="75" w:type="dxa"/>
            <w:tcBorders/>
            <w:vAlign w:val="center"/>
          </w:tcPr>
          <w:p>
            <w:pPr>
              <w:pStyle w:val="TableContents"/>
              <w:bidi w:val="0"/>
              <w:spacing w:before="0" w:after="283"/>
              <w:jc w:val="left"/>
              <w:rPr/>
            </w:pPr>
            <w:r>
              <w:rPr/>
              <w:t> </w:t>
            </w:r>
          </w:p>
        </w:tc>
        <w:tc>
          <w:tcPr>
            <w:tcW w:w="1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President</w:t>
            </w:r>
          </w:p>
        </w:tc>
      </w:tr>
    </w:tbl>
    <w:p>
      <w:pPr>
        <w:pStyle w:val="TextBody"/>
        <w:bidi w:val="0"/>
        <w:jc w:val="center"/>
        <w:rPr/>
      </w:pPr>
      <w:r>
        <w:rPr/>
        <w:t> </w:t>
      </w:r>
    </w:p>
    <w:p>
      <w:pPr>
        <w:pStyle w:val="TextBody"/>
        <w:bidi w:val="0"/>
        <w:jc w:val="center"/>
        <w:rPr/>
      </w:pPr>
      <w:r>
        <w:rPr/>
        <w:t>[signature Page to the Warrant]</w:t>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1097"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w:t>
      </w:r>
      <w:r>
        <w:rPr>
          <w:rFonts w:ascii="Times New Roman;Times;Serif" w:hAnsi="Times New Roman;Times;Serif"/>
          <w:b/>
          <w:i w:val="false"/>
          <w:caps w:val="false"/>
          <w:smallCaps w:val="false"/>
          <w:sz w:val="20"/>
        </w:rPr>
        <w:t>FARADAY FUTURE INTELLIGENT ELECTRIC INC.</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3822" w:right="0" w:hanging="222"/>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Signatory of Investing Entity: ______________________________________________________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Date: ___________________________________________________________________</w:t>
      </w:r>
    </w:p>
    <w:p>
      <w:pPr>
        <w:pStyle w:val="TextBody"/>
        <w:bidi w:val="0"/>
        <w:spacing w:before="0" w:after="0"/>
        <w:ind w:left="144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assign the foregoing warrant, execute </w:t>
        <w:br/>
        <w:t xml:space="preserve">this form and supply required information. </w:t>
        <w:br/>
        <w:t>Do not use this form to exercise the warrant.)</w:t>
      </w:r>
    </w:p>
    <w:p>
      <w:pPr>
        <w:pStyle w:val="TextBody"/>
        <w:bidi w:val="0"/>
        <w:spacing w:before="0" w:after="0"/>
        <w:ind w:left="4307" w:right="0" w:firstLine="153"/>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[___] all of or [___] shares of the foregoing Warrant and all rights evidenced thereby are hereby assigned to whose address is _______________________________</w:t>
      </w:r>
    </w:p>
    <w:p>
      <w:pPr>
        <w:pStyle w:val="TextBody"/>
        <w:bidi w:val="0"/>
        <w:spacing w:before="0" w:after="0"/>
        <w:jc w:val="center"/>
        <w:rPr>
          <w:caps w:val="false"/>
          <w:smallCaps w:val="false"/>
        </w:rPr>
      </w:pPr>
      <w:r>
        <w:rPr>
          <w:caps w:val="false"/>
          <w:smallCaps w:val="false"/>
        </w:rPr>
        <w:t> </w:t>
      </w:r>
    </w:p>
    <w:tbl>
      <w:tblPr>
        <w:tblW w:w="1708" w:type="dxa"/>
        <w:jc w:val="left"/>
        <w:tblInd w:w="0" w:type="dxa"/>
        <w:tblLayout w:type="fixed"/>
        <w:tblCellMar>
          <w:top w:w="0" w:type="dxa"/>
          <w:left w:w="0" w:type="dxa"/>
          <w:bottom w:w="0" w:type="dxa"/>
          <w:right w:w="0" w:type="dxa"/>
        </w:tblCellMar>
      </w:tblPr>
      <w:tblGrid>
        <w:gridCol w:w="23"/>
        <w:gridCol w:w="1685"/>
      </w:tblGrid>
      <w:tr>
        <w:trPr/>
        <w:tc>
          <w:tcPr>
            <w:tcW w:w="23"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Dated: ______, ___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 __________________________</w:t>
        <w:br/>
        <w:br/>
        <w:t>Holder’s Address:   __________________________</w:t>
      </w:r>
    </w:p>
    <w:p>
      <w:pPr>
        <w:pStyle w:val="TextBody"/>
        <w:bidi w:val="0"/>
        <w:spacing w:before="0" w:after="0"/>
        <w:ind w:left="3290" w:right="0" w:hanging="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 Officers of corporations and those acting in a fiduciary or other representative capacity should file proper evidence of authority to assign the foregoing Warrant.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4" w:name="ex10-1.htm"/>
      <w:bookmarkStart w:id="25" w:name="ksex101"/>
      <w:bookmarkEnd w:id="24"/>
      <w:bookmarkEnd w:id="25"/>
      <w:r>
        <w:rPr>
          <w:caps w:val="false"/>
          <w:smallCaps w:val="false"/>
        </w:rPr>
        <w:t> </w:t>
      </w:r>
      <w:r>
        <w:br w:type="page"/>
      </w:r>
    </w:p>
    <w:p>
      <w:pPr>
        <w:pStyle w:val="TextBody"/>
        <w:bidi w:val="0"/>
        <w:spacing w:before="0" w:after="0"/>
        <w:ind w:left="2655" w:right="0" w:firstLine="70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ENTRUSTED INVESTMENT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(“First Amendment”), is entered into as of April 10, 2026 (the “Effective Date”) by and between AIXCRYPTO HOLDINGS, INC. (“AIXC”), GOLD KING ARTHUR HOLDING LIMITED (“GKA”), and SONG WANG (the “Shareholder”). Unless otherwise defined herein, the terms of the Agreement are incorporated herein by reference as therein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AIXC, GKA, and the Shareholder entered into that certain Entrusted Investment Agreement on or about January 30, 2026, (the “Agreement) pursuant to which AIXC entrusts GKA to manage certain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AIXC, GKA, and the Shareholder desire to amend the Agreement as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sufficient consideration acknowledged herein, the parties hereto, intending to be legally bound, hereby amend the Agreement as follows:</w:t>
      </w:r>
    </w:p>
    <w:p>
      <w:pPr>
        <w:pStyle w:val="TextBody"/>
        <w:bidi w:val="0"/>
        <w:spacing w:before="0" w:after="0"/>
        <w:ind w:left="0" w:right="0" w:hanging="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185"/>
        <w:gridCol w:w="920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of the Agreement is hereby amended to restate the definition of FFAI Shares in its entirety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FFAI Shares” </w:t>
      </w:r>
      <w:r>
        <w:rPr>
          <w:rFonts w:ascii="Times New Roman;Times;Serif" w:hAnsi="Times New Roman;Times;Serif"/>
          <w:b w:val="false"/>
          <w:i w:val="false"/>
          <w:caps w:val="false"/>
          <w:smallCaps w:val="false"/>
          <w:sz w:val="20"/>
        </w:rPr>
        <w:t>means the Class A common stock of FFAI, par value $0.0001, and any series of preferred stock of FFAI, acquired, held, converted (if applicable) or disposed of by GKA in connection with the Investment pursuant to this Agreement and the Transaction Agreements.</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185"/>
        <w:gridCol w:w="729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Agreement is hereby amended by adding new subsection (7)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Any Tokenization of preferred stock must programmatically reflect and legally bind all off-chain liquidation preferences, anti-dilution protections, and dividend rights within the smart contract architecture. The Parties acknowledge that any such Tokenized Shares representing preferred stock shall be strictly treated as digital securities under applicable U.S. federal securities laws.</w:t>
      </w:r>
    </w:p>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185"/>
        <w:gridCol w:w="483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of the Agreement is hereby deleted in its entirety.</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85"/>
        <w:gridCol w:w="521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of the Agreement is hereby deleted in its entirety.</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185"/>
        <w:gridCol w:w="734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11.1(6) of the Agreement is hereby amended and restated in its entirety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GKA shall not pledge, encumber, hypothecate, or grant any security interest in the FFAI Shares, the Tokenized Shares, or the Entrusted Accounts. GKA shall not commingle the FFAI Shares or funds within the Entrusted Accounts with any other assets. GKA agrees that any business activities conducted or liabilities incurred outside the Entrusted Scope shall be expressly non-recourse to the FFAI Shares and the Entrusted Accounts.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185"/>
        <w:gridCol w:w="516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12(2) of the Agreement is hereby deleted in its entirety.</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185"/>
        <w:gridCol w:w="905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Effect on the Agreement</w:t>
            </w:r>
            <w:r>
              <w:rPr>
                <w:rFonts w:ascii="Times New Roman;Times;Serif" w:hAnsi="Times New Roman;Times;Serif"/>
                <w:b w:val="false"/>
                <w:i w:val="false"/>
                <w:caps w:val="false"/>
                <w:smallCaps w:val="false"/>
                <w:sz w:val="20"/>
              </w:rPr>
              <w:t>. Except as amended hereby, the Agreement shall continue to be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First Amendment shall be held invalid, illegal or unenforceable, the validity, legality or enforceability of the other provisions hereof shall not be affected thereby, and there shall be deemed substituted for the provision at issue a valid, legal and enforceable provision as similar as possible to the provision at issue.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Amendment shall be governed by, and construed in accordance with, the laws of the State of New York, without regard to the principles of conflicts of law thereof. Any dispute, controversy, or claim arising out of or relating to this Amendment shall be resolved exclusively by final and binding arbitration administered by JAMS. The arbitration shall be conducted by a single arbitrator, selected in accordance with its Comprehensive Arbitration Rules and Procedures, and shall take place in New York, New York. The arbitration and all related proceedings shall be confidential, except to the extent disclosure is required by law or necessary to enforce an arbitral award. Judgment upon the arbitrator’s award may be entered in any court of competent jurisdiction. The parties expressly agree that this arbitration provision shall be governed by and enforceable under the Federal Arbitration Act (the “FAA”), and to the extent any state arbitration law is inconsistent with the FAA, the FAA shall govern. Except to the extent otherwise required pursuant to the applicable JAMS rules and procedures and applicable law, each party shall bear its own costs in any arbitration proceeding held hereunder and the parties shall share the costs of the arbitrator.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First Amendment may be executed in any number of counterparts, each of which when so executed and delivered will be deemed an original, and all of which together shall constitute one and the same agreement. This First Amendment may be executed and delivered by facsimile or electronic mail (including .pdf or any electronic signature, e.g., www.docusign.com) and upon such delivery the signature will be deemed to have the same effect as if the original signature had been delivered to the other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36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AIXC, GKA, and the Shareholder have duly executed this First Amendment as of the Effective Date.</w:t>
      </w:r>
    </w:p>
    <w:p>
      <w:pPr>
        <w:pStyle w:val="TextBody"/>
        <w:bidi w:val="0"/>
        <w:spacing w:before="0" w:after="0"/>
        <w:ind w:left="0" w:right="0" w:hanging="0"/>
        <w:jc w:val="left"/>
        <w:rPr>
          <w:caps w:val="false"/>
          <w:smallCaps w:val="false"/>
        </w:rPr>
      </w:pPr>
      <w:r>
        <w:rPr>
          <w:caps w:val="false"/>
          <w:smallCaps w:val="false"/>
        </w:rPr>
        <w:t> </w:t>
      </w:r>
    </w:p>
    <w:tbl>
      <w:tblPr>
        <w:tblW w:w="7478" w:type="dxa"/>
        <w:jc w:val="left"/>
        <w:tblInd w:w="0" w:type="dxa"/>
        <w:tblLayout w:type="fixed"/>
        <w:tblCellMar>
          <w:top w:w="0" w:type="dxa"/>
          <w:left w:w="0" w:type="dxa"/>
          <w:bottom w:w="0" w:type="dxa"/>
          <w:right w:w="0" w:type="dxa"/>
        </w:tblCellMar>
      </w:tblPr>
      <w:tblGrid>
        <w:gridCol w:w="740"/>
        <w:gridCol w:w="2759"/>
        <w:gridCol w:w="60"/>
        <w:gridCol w:w="1242"/>
        <w:gridCol w:w="2677"/>
      </w:tblGrid>
      <w:tr>
        <w:trPr/>
        <w:tc>
          <w:tcPr>
            <w:tcW w:w="349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AIXCRYPTO HOLDINGS, INC.</w:t>
            </w:r>
          </w:p>
        </w:tc>
        <w:tc>
          <w:tcPr>
            <w:tcW w:w="6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GOLD KING ARTHUR HOLDING LIMITED</w:t>
            </w:r>
          </w:p>
        </w:tc>
      </w:tr>
      <w:tr>
        <w:trPr/>
        <w:tc>
          <w:tcPr>
            <w:tcW w:w="740" w:type="dxa"/>
            <w:tcBorders/>
            <w:vAlign w:val="center"/>
          </w:tcPr>
          <w:p>
            <w:pPr>
              <w:pStyle w:val="TableContents"/>
              <w:bidi w:val="0"/>
              <w:spacing w:before="0" w:after="283"/>
              <w:jc w:val="left"/>
              <w:rPr/>
            </w:pPr>
            <w:r>
              <w:rPr/>
              <w:t> </w:t>
            </w:r>
          </w:p>
        </w:tc>
        <w:tc>
          <w:tcPr>
            <w:tcW w:w="27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both"/>
              <w:rPr/>
            </w:pPr>
            <w:r>
              <w:rPr/>
              <w:t> </w:t>
            </w:r>
          </w:p>
        </w:tc>
        <w:tc>
          <w:tcPr>
            <w:tcW w:w="2677"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7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Kevin A. Richardson II</w:t>
            </w:r>
          </w:p>
        </w:tc>
        <w:tc>
          <w:tcPr>
            <w:tcW w:w="60"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w:t>
            </w:r>
          </w:p>
        </w:tc>
        <w:tc>
          <w:tcPr>
            <w:tcW w:w="26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Song Wang</w:t>
            </w:r>
          </w:p>
        </w:tc>
      </w:tr>
      <w:tr>
        <w:trPr/>
        <w:tc>
          <w:tcPr>
            <w:tcW w:w="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7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Kevin A. Richardson II</w:t>
            </w:r>
          </w:p>
        </w:tc>
        <w:tc>
          <w:tcPr>
            <w:tcW w:w="60"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c>
          <w:tcPr>
            <w:tcW w:w="26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Song Wang</w:t>
            </w:r>
          </w:p>
        </w:tc>
      </w:tr>
      <w:tr>
        <w:trPr/>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CEO</w:t>
            </w:r>
          </w:p>
        </w:tc>
        <w:tc>
          <w:tcPr>
            <w:tcW w:w="60"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c>
          <w:tcPr>
            <w:tcW w:w="26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r>
      <w:tr>
        <w:trPr/>
        <w:tc>
          <w:tcPr>
            <w:tcW w:w="740" w:type="dxa"/>
            <w:tcBorders/>
            <w:vAlign w:val="center"/>
          </w:tcPr>
          <w:p>
            <w:pPr>
              <w:pStyle w:val="TableContents"/>
              <w:bidi w:val="0"/>
              <w:spacing w:before="0" w:after="283"/>
              <w:jc w:val="left"/>
              <w:rPr/>
            </w:pPr>
            <w:r>
              <w:rPr/>
              <w:t> </w:t>
            </w:r>
          </w:p>
        </w:tc>
        <w:tc>
          <w:tcPr>
            <w:tcW w:w="27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both"/>
              <w:rPr/>
            </w:pPr>
            <w:r>
              <w:rPr/>
              <w:t> </w:t>
            </w:r>
          </w:p>
        </w:tc>
        <w:tc>
          <w:tcPr>
            <w:tcW w:w="2677"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020" w:type="dxa"/>
        <w:jc w:val="left"/>
        <w:tblInd w:w="0" w:type="dxa"/>
        <w:tblLayout w:type="fixed"/>
        <w:tblCellMar>
          <w:top w:w="0" w:type="dxa"/>
          <w:left w:w="0" w:type="dxa"/>
          <w:bottom w:w="0" w:type="dxa"/>
          <w:right w:w="0" w:type="dxa"/>
        </w:tblCellMar>
      </w:tblPr>
      <w:tblGrid>
        <w:gridCol w:w="560"/>
        <w:gridCol w:w="1385"/>
        <w:gridCol w:w="75"/>
      </w:tblGrid>
      <w:tr>
        <w:trPr/>
        <w:tc>
          <w:tcPr>
            <w:tcW w:w="194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SONG WANG</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Song Wang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Song Wang</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 First Amendment to the Entrusted Investment Agreement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6" w:name="ex10-2.htm"/>
      <w:bookmarkStart w:id="27" w:name="ksex102"/>
      <w:bookmarkEnd w:id="26"/>
      <w:bookmarkEnd w:id="2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AMENDMENT TO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ENTRUSTED INVESTMENT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SECOND AMENDMENT (“Second Amendment”), is entered into effective as of April 10, 2026 (the “Effective Date”) by and between AIXCRYPTO HOLDINGS, INC. (“AIXC”), GOLD KING ARTHUR HOLDING LIMITED (“GKA”), and SONG WANG (the “Shareholder”). Unless otherwise defined herein, the terms of the Agreement are incorporated herein by reference as therein defined.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AIXC, GKA, and the Shareholder entered into that certain Entrusted Investment Agreement on or about January 30, 2026, which was subsequently amended by a First Amendment dated April 10, 2026 (collectively, the “Agreement) pursuant to which AIXC entrusts GKA to manage certain investments;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AIXC, GKA, and the Shareholder desire to further amend the Agreement as set forth herein;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sufficient consideration acknowledged herein, the parties hereto, intending to be legally bound, hereby amend the Agreement as follows:</w:t>
      </w:r>
    </w:p>
    <w:p>
      <w:pPr>
        <w:pStyle w:val="TextBody"/>
        <w:bidi w:val="0"/>
        <w:spacing w:before="0" w:after="0"/>
        <w:ind w:left="36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170"/>
        <w:gridCol w:w="918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1.1. of the Agreement is hereby amended to restate the definition of FFAI Shares in its entirety as follows: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FFAI Shares” </w:t>
      </w:r>
      <w:r>
        <w:rPr>
          <w:rFonts w:ascii="Times New Roman;Times;Serif" w:hAnsi="Times New Roman;Times;Serif"/>
          <w:b w:val="false"/>
          <w:i w:val="false"/>
          <w:caps w:val="false"/>
          <w:smallCaps w:val="false"/>
          <w:sz w:val="20"/>
        </w:rPr>
        <w:t>means the Class A common stock of FFAI, par value $0.0001, any series of preferred stock of FFAI, and any loans, debt instruments, or convertible promissory notes issued by FFAI, acquired, held, converted (if applicable) or disposed of by GKA in connection with the Investment pursuant to this Agreement and the Transaction Agreements.</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Effect on the Agreement</w:t>
            </w:r>
            <w:r>
              <w:rPr>
                <w:rFonts w:ascii="Times New Roman;Times;Serif" w:hAnsi="Times New Roman;Times;Serif"/>
                <w:sz w:val="20"/>
              </w:rPr>
              <w:t>. Except as amended hereby, the Agreement shall continue to be in full force and effect.</w:t>
            </w:r>
          </w:p>
        </w:tc>
      </w:tr>
      <w:tr>
        <w:trPr/>
        <w:tc>
          <w:tcPr>
            <w:tcW w:w="128" w:type="dxa"/>
            <w:tcBorders/>
            <w:vAlign w:val="center"/>
          </w:tcPr>
          <w:p>
            <w:pPr>
              <w:pStyle w:val="TableContents"/>
              <w:bidi w:val="0"/>
              <w:spacing w:before="0" w:after="283"/>
              <w:jc w:val="both"/>
              <w:rPr/>
            </w:pPr>
            <w:r>
              <w:rPr/>
              <w:t> </w:t>
            </w:r>
          </w:p>
        </w:tc>
        <w:tc>
          <w:tcPr>
            <w:tcW w:w="10077" w:type="dxa"/>
            <w:tcBorders/>
            <w:vAlign w:val="center"/>
          </w:tcPr>
          <w:p>
            <w:pPr>
              <w:pStyle w:val="TableContents"/>
              <w:bidi w:val="0"/>
              <w:spacing w:before="0" w:after="283"/>
              <w:jc w:val="both"/>
              <w:rPr/>
            </w:pPr>
            <w:r>
              <w:rPr/>
              <w:t> </w:t>
            </w:r>
          </w:p>
        </w:tc>
      </w:tr>
      <w:tr>
        <w:trPr/>
        <w:tc>
          <w:tcPr>
            <w:tcW w:w="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Severability</w:t>
            </w:r>
            <w:r>
              <w:rPr>
                <w:rFonts w:ascii="Times New Roman;Times;Serif" w:hAnsi="Times New Roman;Times;Serif"/>
                <w:sz w:val="20"/>
              </w:rPr>
              <w:t>. If any provision of this Second Amendment shall be held invalid, illegal or unenforceable, the validity, legality or enforceability of the other provisions hereof shall not be affected thereby, and there shall be deemed substituted for the provision at issue a valid, legal and enforceable provision as similar as possible to the provision at issue.</w:t>
            </w:r>
          </w:p>
        </w:tc>
      </w:tr>
      <w:tr>
        <w:trPr/>
        <w:tc>
          <w:tcPr>
            <w:tcW w:w="128" w:type="dxa"/>
            <w:tcBorders/>
            <w:vAlign w:val="center"/>
          </w:tcPr>
          <w:p>
            <w:pPr>
              <w:pStyle w:val="TableContents"/>
              <w:bidi w:val="0"/>
              <w:spacing w:before="0" w:after="283"/>
              <w:jc w:val="both"/>
              <w:rPr/>
            </w:pPr>
            <w:r>
              <w:rPr/>
              <w:t> </w:t>
            </w:r>
          </w:p>
        </w:tc>
        <w:tc>
          <w:tcPr>
            <w:tcW w:w="10077" w:type="dxa"/>
            <w:tcBorders/>
            <w:vAlign w:val="center"/>
          </w:tcPr>
          <w:p>
            <w:pPr>
              <w:pStyle w:val="TableContents"/>
              <w:bidi w:val="0"/>
              <w:spacing w:before="0" w:after="283"/>
              <w:jc w:val="both"/>
              <w:rPr/>
            </w:pPr>
            <w:r>
              <w:rPr/>
              <w:t> </w:t>
            </w:r>
          </w:p>
        </w:tc>
      </w:tr>
      <w:tr>
        <w:trPr/>
        <w:tc>
          <w:tcPr>
            <w:tcW w:w="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0077" w:type="dxa"/>
            <w:tcBorders/>
            <w:vAlign w:val="center"/>
          </w:tcPr>
          <w:p>
            <w:pPr>
              <w:pStyle w:val="TableContents"/>
              <w:bidi w:val="0"/>
              <w:spacing w:before="0" w:after="283"/>
              <w:jc w:val="both"/>
              <w:rPr/>
            </w:pPr>
            <w:r>
              <w:rPr>
                <w:rFonts w:ascii="Times New Roman;Times;Serif" w:hAnsi="Times New Roman;Times;Serif"/>
                <w:sz w:val="20"/>
                <w:u w:val="single"/>
              </w:rPr>
              <w:t>Governing Law</w:t>
            </w:r>
            <w:r>
              <w:rPr>
                <w:rFonts w:ascii="Times New Roman;Times;Serif" w:hAnsi="Times New Roman;Times;Serif"/>
                <w:sz w:val="20"/>
              </w:rPr>
              <w:t xml:space="preserve">. This Amendment shall be governed by, and construed in accordance with, the laws of the State of New York, without regard to the principles of conflicts of law thereof. Any dispute, controversy, or claim arising out of or relating to this Amendment shall be resolved exclusively by final and binding arbitration administered by JAMS. The arbitration shall be conducted by a single arbitrator, selected in accordance with its Comprehensive Arbitration Rules and Procedures, and shall take place in New York, New York. The arbitration and all related proceedings shall be confidential, except to the extent disclosure is required by law or necessary to enforce an arbitral award. Judgment upon the </w:t>
            </w:r>
            <w:r>
              <w:rPr>
                <w:rFonts w:ascii="Times New Roman;Times;Serif" w:hAnsi="Times New Roman;Times;Serif"/>
              </w:rPr>
              <w:t>arbitrator’s award may be entered in any court of competent jurisdiction. The parties expressly agree that this arbitration provision shall be governed by and enforceable under the Federal Arbitration Act (the “FAA”), and to the extent any state arbitration law is inconsistent with the FAA, the FAA shall govern. Except to the extent otherwise required pursuant to the applicable JAMS rules and procedures and applicable law, each party shall bear its own costs in any arbitration proceeding held hereunder and the parties shall share the costs of the arbitrator.</w:t>
            </w:r>
          </w:p>
        </w:tc>
      </w:tr>
      <w:tr>
        <w:trPr/>
        <w:tc>
          <w:tcPr>
            <w:tcW w:w="128" w:type="dxa"/>
            <w:tcBorders/>
            <w:vAlign w:val="center"/>
          </w:tcPr>
          <w:p>
            <w:pPr>
              <w:pStyle w:val="TableContents"/>
              <w:bidi w:val="0"/>
              <w:spacing w:before="0" w:after="283"/>
              <w:jc w:val="both"/>
              <w:rPr/>
            </w:pPr>
            <w:r>
              <w:rPr/>
              <w:t> </w:t>
            </w:r>
          </w:p>
        </w:tc>
        <w:tc>
          <w:tcPr>
            <w:tcW w:w="10077" w:type="dxa"/>
            <w:tcBorders/>
            <w:vAlign w:val="center"/>
          </w:tcPr>
          <w:p>
            <w:pPr>
              <w:pStyle w:val="TableContents"/>
              <w:bidi w:val="0"/>
              <w:spacing w:before="0" w:after="283"/>
              <w:jc w:val="both"/>
              <w:rPr/>
            </w:pPr>
            <w:r>
              <w:rPr/>
              <w:t> </w:t>
            </w:r>
          </w:p>
        </w:tc>
      </w:tr>
      <w:tr>
        <w:trPr/>
        <w:tc>
          <w:tcPr>
            <w:tcW w:w="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100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Counterparts</w:t>
            </w:r>
            <w:r>
              <w:rPr>
                <w:rFonts w:ascii="Times New Roman;Times;Serif" w:hAnsi="Times New Roman;Times;Serif"/>
                <w:sz w:val="20"/>
              </w:rPr>
              <w:t>. This Second Amendment may be executed in any number of counterparts, each of which when so executed and delivered will be deemed an original, and all of which together shall constitute one and the same agreement. This Second Amendment may be executed and delivered by facsimile or electronic mail (including .pdf or any electronic signature, e.g., www.docusign.com) and upon such delivery the signature will be deemed to have the same effect as if the original signature had been delivered to the other party.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36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AIXC, GKA, and the Shareholder have duly executed this Second Amendment as of the Effective Date.</w:t>
      </w:r>
    </w:p>
    <w:p>
      <w:pPr>
        <w:pStyle w:val="TextBody"/>
        <w:bidi w:val="0"/>
        <w:spacing w:before="0" w:after="0"/>
        <w:ind w:left="360" w:right="0" w:firstLine="720"/>
        <w:jc w:val="both"/>
        <w:rPr>
          <w:caps w:val="false"/>
          <w:smallCaps w:val="false"/>
        </w:rPr>
      </w:pPr>
      <w:r>
        <w:rPr>
          <w:caps w:val="false"/>
          <w:smallCaps w:val="false"/>
        </w:rPr>
        <w:t> </w:t>
      </w:r>
    </w:p>
    <w:tbl>
      <w:tblPr>
        <w:tblW w:w="7064" w:type="dxa"/>
        <w:jc w:val="left"/>
        <w:tblInd w:w="0" w:type="dxa"/>
        <w:tblLayout w:type="fixed"/>
        <w:tblCellMar>
          <w:top w:w="0" w:type="dxa"/>
          <w:left w:w="0" w:type="dxa"/>
          <w:bottom w:w="0" w:type="dxa"/>
          <w:right w:w="0" w:type="dxa"/>
        </w:tblCellMar>
      </w:tblPr>
      <w:tblGrid>
        <w:gridCol w:w="605"/>
        <w:gridCol w:w="2480"/>
        <w:gridCol w:w="60"/>
        <w:gridCol w:w="1242"/>
        <w:gridCol w:w="2677"/>
      </w:tblGrid>
      <w:tr>
        <w:trPr/>
        <w:tc>
          <w:tcPr>
            <w:tcW w:w="30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AIXCRYPTO HOLDINGS, INC.</w:t>
            </w:r>
          </w:p>
        </w:tc>
        <w:tc>
          <w:tcPr>
            <w:tcW w:w="6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GOLD KING ARTHUR HOLDING LIMITED</w:t>
            </w:r>
          </w:p>
        </w:tc>
      </w:tr>
      <w:tr>
        <w:trPr/>
        <w:tc>
          <w:tcPr>
            <w:tcW w:w="60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left"/>
              <w:rPr/>
            </w:pPr>
            <w:r>
              <w:rPr/>
              <w:t> </w:t>
            </w:r>
          </w:p>
        </w:tc>
        <w:tc>
          <w:tcPr>
            <w:tcW w:w="2677"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Kevin A. Richardson II</w:t>
            </w:r>
          </w:p>
        </w:tc>
        <w:tc>
          <w:tcPr>
            <w:tcW w:w="60"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Song Wang</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Kevin A. Richardson II</w:t>
            </w:r>
          </w:p>
        </w:tc>
        <w:tc>
          <w:tcPr>
            <w:tcW w:w="60"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6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Song Wang</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CEO</w:t>
            </w:r>
          </w:p>
        </w:tc>
        <w:tc>
          <w:tcPr>
            <w:tcW w:w="60"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6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r>
    </w:tbl>
    <w:p>
      <w:pPr>
        <w:pStyle w:val="TextBody"/>
        <w:bidi w:val="0"/>
        <w:spacing w:before="0" w:after="0"/>
        <w:ind w:left="360" w:right="0" w:firstLine="72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605"/>
        <w:gridCol w:w="1385"/>
        <w:gridCol w:w="75"/>
      </w:tblGrid>
      <w:tr>
        <w:trPr/>
        <w:tc>
          <w:tcPr>
            <w:tcW w:w="19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SONG WANG</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Song Wang</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3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Song Wang</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 Second Amendment to the Entrusted Investment Agreement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8" w:name="ex10-3.htm"/>
      <w:bookmarkStart w:id="29" w:name="ksex103"/>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SECURITIES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APRIL 14,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FARADAY FUTURE INTELLIGENT ELECTRIC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 Issuer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 KING ARTHUR HOLDING LIMITED</w:t>
      </w:r>
    </w:p>
    <w:p>
      <w:pPr>
        <w:pStyle w:val="TextBody"/>
        <w:bidi w:val="0"/>
        <w:spacing w:before="0" w:after="0"/>
        <w:ind w:left="1889"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ANNEXES, EXHIBITS AND SCHEDULES</w:t>
      </w:r>
    </w:p>
    <w:p>
      <w:pPr>
        <w:pStyle w:val="TextBody"/>
        <w:bidi w:val="0"/>
        <w:spacing w:before="0" w:after="0"/>
        <w:ind w:left="3859" w:right="0" w:hanging="0"/>
        <w:jc w:val="both"/>
        <w:rPr>
          <w:caps w:val="false"/>
          <w:smallCaps w:val="false"/>
        </w:rPr>
      </w:pPr>
      <w:r>
        <w:rPr>
          <w:caps w:val="false"/>
          <w:smallCaps w:val="false"/>
        </w:rPr>
        <w:t> </w:t>
      </w:r>
    </w:p>
    <w:tbl>
      <w:tblPr>
        <w:tblW w:w="8295" w:type="dxa"/>
        <w:jc w:val="left"/>
        <w:tblInd w:w="0" w:type="dxa"/>
        <w:tblLayout w:type="fixed"/>
        <w:tblCellMar>
          <w:top w:w="0" w:type="dxa"/>
          <w:left w:w="0" w:type="dxa"/>
          <w:bottom w:w="0" w:type="dxa"/>
          <w:right w:w="0" w:type="dxa"/>
        </w:tblCellMar>
      </w:tblPr>
      <w:tblGrid>
        <w:gridCol w:w="1250"/>
        <w:gridCol w:w="95"/>
        <w:gridCol w:w="6950"/>
      </w:tblGrid>
      <w:tr>
        <w:trPr/>
        <w:tc>
          <w:tcPr>
            <w:tcW w:w="1250" w:type="dxa"/>
            <w:tcBorders/>
            <w:shd w:fill="CCEEFF" w:val="clear"/>
            <w:vAlign w:val="center"/>
          </w:tcPr>
          <w:p>
            <w:pPr>
              <w:pStyle w:val="TableContents"/>
              <w:bidi w:val="0"/>
              <w:spacing w:before="0" w:after="283"/>
              <w:ind w:left="0" w:right="0" w:hanging="200"/>
              <w:jc w:val="both"/>
              <w:rPr>
                <w:rFonts w:ascii="Times New Roman;Times;Serif" w:hAnsi="Times New Roman;Times;Serif"/>
                <w:b/>
                <w:sz w:val="20"/>
                <w:u w:val="single"/>
              </w:rPr>
            </w:pPr>
            <w:r>
              <w:rPr>
                <w:rFonts w:ascii="Times New Roman;Times;Serif" w:hAnsi="Times New Roman;Times;Serif"/>
                <w:b/>
                <w:sz w:val="20"/>
                <w:u w:val="single"/>
              </w:rPr>
              <w:t>ANNEX</w:t>
            </w:r>
          </w:p>
        </w:tc>
        <w:tc>
          <w:tcPr>
            <w:tcW w:w="95" w:type="dxa"/>
            <w:tcBorders/>
            <w:shd w:fill="CCEEFF" w:val="clear"/>
            <w:vAlign w:val="center"/>
          </w:tcPr>
          <w:p>
            <w:pPr>
              <w:pStyle w:val="TableContents"/>
              <w:bidi w:val="0"/>
              <w:spacing w:before="0" w:after="283"/>
              <w:ind w:left="0" w:right="0" w:hanging="200"/>
              <w:jc w:val="center"/>
              <w:rPr/>
            </w:pPr>
            <w:r>
              <w:rPr/>
              <w:t> </w:t>
            </w:r>
          </w:p>
        </w:tc>
        <w:tc>
          <w:tcPr>
            <w:tcW w:w="6950" w:type="dxa"/>
            <w:tcBorders/>
            <w:shd w:fill="CCEEFF" w:val="clear"/>
            <w:vAlign w:val="center"/>
          </w:tcPr>
          <w:p>
            <w:pPr>
              <w:pStyle w:val="TableContents"/>
              <w:bidi w:val="0"/>
              <w:spacing w:before="0" w:after="283"/>
              <w:ind w:left="0" w:right="0" w:hanging="200"/>
              <w:jc w:val="both"/>
              <w:rPr/>
            </w:pPr>
            <w:r>
              <w:rPr/>
              <w:t> </w:t>
            </w:r>
          </w:p>
        </w:tc>
      </w:tr>
      <w:tr>
        <w:trPr/>
        <w:tc>
          <w:tcPr>
            <w:tcW w:w="12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A</w:t>
            </w:r>
          </w:p>
        </w:tc>
        <w:tc>
          <w:tcPr>
            <w:tcW w:w="95" w:type="dxa"/>
            <w:tcBorders/>
            <w:shd w:fill="FFFFFF" w:val="cle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w:t>
            </w:r>
          </w:p>
        </w:tc>
        <w:tc>
          <w:tcPr>
            <w:tcW w:w="6950" w:type="dxa"/>
            <w:tcBorders/>
            <w:shd w:fill="FFFFFF" w:val="clear"/>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Definitions</w:t>
            </w:r>
          </w:p>
        </w:tc>
      </w:tr>
      <w:tr>
        <w:trPr/>
        <w:tc>
          <w:tcPr>
            <w:tcW w:w="1250" w:type="dxa"/>
            <w:tcBorders/>
            <w:shd w:fill="CCEEFF" w:val="clear"/>
            <w:vAlign w:val="center"/>
          </w:tcPr>
          <w:p>
            <w:pPr>
              <w:pStyle w:val="TableContents"/>
              <w:bidi w:val="0"/>
              <w:spacing w:before="0" w:after="283"/>
              <w:jc w:val="both"/>
              <w:rPr/>
            </w:pPr>
            <w:r>
              <w:rPr/>
              <w:t> </w:t>
            </w:r>
          </w:p>
        </w:tc>
        <w:tc>
          <w:tcPr>
            <w:tcW w:w="95" w:type="dxa"/>
            <w:tcBorders/>
            <w:shd w:fill="CCEEFF" w:val="clear"/>
            <w:vAlign w:val="center"/>
          </w:tcPr>
          <w:p>
            <w:pPr>
              <w:pStyle w:val="TableContents"/>
              <w:bidi w:val="0"/>
              <w:spacing w:before="0" w:after="283"/>
              <w:ind w:left="0" w:right="0" w:hanging="200"/>
              <w:jc w:val="center"/>
              <w:rPr/>
            </w:pPr>
            <w:r>
              <w:rPr/>
              <w:t> </w:t>
            </w:r>
          </w:p>
        </w:tc>
        <w:tc>
          <w:tcPr>
            <w:tcW w:w="6950" w:type="dxa"/>
            <w:tcBorders/>
            <w:shd w:fill="CCEEFF" w:val="clear"/>
            <w:vAlign w:val="center"/>
          </w:tcPr>
          <w:p>
            <w:pPr>
              <w:pStyle w:val="TableContents"/>
              <w:bidi w:val="0"/>
              <w:spacing w:before="0" w:after="283"/>
              <w:ind w:left="0" w:right="0" w:hanging="200"/>
              <w:jc w:val="both"/>
              <w:rPr/>
            </w:pPr>
            <w:r>
              <w:rPr/>
              <w:t> </w:t>
            </w:r>
          </w:p>
        </w:tc>
      </w:tr>
      <w:tr>
        <w:trPr/>
        <w:tc>
          <w:tcPr>
            <w:tcW w:w="1250" w:type="dxa"/>
            <w:tcBorders/>
            <w:shd w:fill="FFFFFF" w:val="cle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SCHEDULES</w:t>
            </w:r>
          </w:p>
        </w:tc>
        <w:tc>
          <w:tcPr>
            <w:tcW w:w="95" w:type="dxa"/>
            <w:tcBorders/>
            <w:shd w:fill="FFFFFF" w:val="clear"/>
            <w:vAlign w:val="center"/>
          </w:tcPr>
          <w:p>
            <w:pPr>
              <w:pStyle w:val="TableContents"/>
              <w:bidi w:val="0"/>
              <w:spacing w:before="0" w:after="283"/>
              <w:ind w:left="0" w:right="0" w:hanging="200"/>
              <w:jc w:val="center"/>
              <w:rPr/>
            </w:pPr>
            <w:r>
              <w:rPr/>
              <w:t> </w:t>
            </w:r>
          </w:p>
        </w:tc>
        <w:tc>
          <w:tcPr>
            <w:tcW w:w="6950" w:type="dxa"/>
            <w:tcBorders/>
            <w:shd w:fill="FFFFFF" w:val="clear"/>
            <w:vAlign w:val="center"/>
          </w:tcPr>
          <w:p>
            <w:pPr>
              <w:pStyle w:val="TableContents"/>
              <w:bidi w:val="0"/>
              <w:spacing w:before="0" w:after="283"/>
              <w:ind w:left="0" w:right="0" w:hanging="200"/>
              <w:jc w:val="both"/>
              <w:rPr/>
            </w:pPr>
            <w:r>
              <w:rPr/>
              <w:t> </w:t>
            </w:r>
          </w:p>
        </w:tc>
      </w:tr>
      <w:tr>
        <w:trPr/>
        <w:tc>
          <w:tcPr>
            <w:tcW w:w="12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3.1</w:t>
            </w:r>
          </w:p>
        </w:tc>
        <w:tc>
          <w:tcPr>
            <w:tcW w:w="95" w:type="dxa"/>
            <w:tcBorders/>
            <w:shd w:fill="CCEEFF" w:val="cle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w:t>
            </w:r>
          </w:p>
        </w:tc>
        <w:tc>
          <w:tcPr>
            <w:tcW w:w="6950" w:type="dxa"/>
            <w:tcBorders/>
            <w:shd w:fill="CCEEFF" w:val="clear"/>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Existence, Organizational Identification Numbers, Foreign Qualification, Prior Names</w:t>
            </w:r>
          </w:p>
        </w:tc>
      </w:tr>
      <w:tr>
        <w:trPr/>
        <w:tc>
          <w:tcPr>
            <w:tcW w:w="12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3.4</w:t>
            </w:r>
          </w:p>
        </w:tc>
        <w:tc>
          <w:tcPr>
            <w:tcW w:w="95" w:type="dxa"/>
            <w:tcBorders/>
            <w:shd w:fill="FFFFFF" w:val="cle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w:t>
            </w:r>
          </w:p>
        </w:tc>
        <w:tc>
          <w:tcPr>
            <w:tcW w:w="6950" w:type="dxa"/>
            <w:tcBorders/>
            <w:shd w:fill="FFFFFF" w:val="clear"/>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Capitalization</w:t>
            </w:r>
          </w:p>
        </w:tc>
      </w:tr>
      <w:tr>
        <w:trPr/>
        <w:tc>
          <w:tcPr>
            <w:tcW w:w="1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Schedule 3.6</w:t>
            </w:r>
          </w:p>
        </w:tc>
        <w:tc>
          <w:tcPr>
            <w:tcW w:w="95" w:type="dxa"/>
            <w:tcBorders/>
            <w:shd w:fill="CCEEFF" w:val="cle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w:t>
            </w:r>
          </w:p>
        </w:tc>
        <w:tc>
          <w:tcPr>
            <w:tcW w:w="6950" w:type="dxa"/>
            <w:tcBorders/>
            <w:shd w:fill="CCEEFF" w:val="clear"/>
            <w:vAlign w:val="center"/>
          </w:tcPr>
          <w:p>
            <w:pPr>
              <w:pStyle w:val="TableContents"/>
              <w:bidi w:val="0"/>
              <w:spacing w:before="0" w:after="283"/>
              <w:ind w:left="0" w:right="0" w:hanging="200"/>
              <w:jc w:val="both"/>
              <w:rPr>
                <w:rFonts w:ascii="Times New Roman;Times;Serif" w:hAnsi="Times New Roman;Times;Serif"/>
              </w:rPr>
            </w:pPr>
            <w:r>
              <w:rPr>
                <w:rFonts w:ascii="Times New Roman;Times;Serif" w:hAnsi="Times New Roman;Times;Serif"/>
              </w:rPr>
              <w:t>Litigation</w:t>
            </w:r>
          </w:p>
        </w:tc>
      </w:tr>
      <w:tr>
        <w:trPr/>
        <w:tc>
          <w:tcPr>
            <w:tcW w:w="12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3.7</w:t>
            </w:r>
          </w:p>
        </w:tc>
        <w:tc>
          <w:tcPr>
            <w:tcW w:w="95" w:type="dxa"/>
            <w:tcBorders/>
            <w:shd w:fill="FFFFFF" w:val="cle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w:t>
            </w:r>
          </w:p>
        </w:tc>
        <w:tc>
          <w:tcPr>
            <w:tcW w:w="6950" w:type="dxa"/>
            <w:tcBorders/>
            <w:shd w:fill="FFFFFF" w:val="clear"/>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Ownership of Property</w:t>
            </w:r>
          </w:p>
        </w:tc>
      </w:tr>
      <w:tr>
        <w:trPr/>
        <w:tc>
          <w:tcPr>
            <w:tcW w:w="1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Schedule 3.8</w:t>
            </w:r>
          </w:p>
        </w:tc>
        <w:tc>
          <w:tcPr>
            <w:tcW w:w="95" w:type="dxa"/>
            <w:tcBorders/>
            <w:shd w:fill="CCEEFF" w:val="cle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w:t>
            </w:r>
          </w:p>
        </w:tc>
        <w:tc>
          <w:tcPr>
            <w:tcW w:w="6950" w:type="dxa"/>
            <w:tcBorders/>
            <w:shd w:fill="CCEEFF" w:val="clear"/>
            <w:vAlign w:val="center"/>
          </w:tcPr>
          <w:p>
            <w:pPr>
              <w:pStyle w:val="TableContents"/>
              <w:bidi w:val="0"/>
              <w:spacing w:before="0" w:after="283"/>
              <w:ind w:left="0" w:right="0" w:hanging="200"/>
              <w:jc w:val="both"/>
              <w:rPr>
                <w:rFonts w:ascii="Times New Roman;Times;Serif" w:hAnsi="Times New Roman;Times;Serif"/>
              </w:rPr>
            </w:pPr>
            <w:r>
              <w:rPr>
                <w:rFonts w:ascii="Times New Roman;Times;Serif" w:hAnsi="Times New Roman;Times;Serif"/>
              </w:rPr>
              <w:t>Labor Matters</w:t>
            </w:r>
          </w:p>
        </w:tc>
      </w:tr>
      <w:tr>
        <w:trPr/>
        <w:tc>
          <w:tcPr>
            <w:tcW w:w="12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3.11</w:t>
            </w:r>
          </w:p>
        </w:tc>
        <w:tc>
          <w:tcPr>
            <w:tcW w:w="95" w:type="dxa"/>
            <w:tcBorders/>
            <w:shd w:fill="FFFFFF" w:val="cle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w:t>
            </w:r>
          </w:p>
        </w:tc>
        <w:tc>
          <w:tcPr>
            <w:tcW w:w="6950" w:type="dxa"/>
            <w:tcBorders/>
            <w:shd w:fill="FFFFFF" w:val="clear"/>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Taxes</w:t>
            </w:r>
          </w:p>
        </w:tc>
      </w:tr>
      <w:tr>
        <w:trPr/>
        <w:tc>
          <w:tcPr>
            <w:tcW w:w="12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3.12</w:t>
            </w:r>
          </w:p>
        </w:tc>
        <w:tc>
          <w:tcPr>
            <w:tcW w:w="95" w:type="dxa"/>
            <w:tcBorders/>
            <w:shd w:fill="CCEEFF" w:val="cle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w:t>
            </w:r>
          </w:p>
        </w:tc>
        <w:tc>
          <w:tcPr>
            <w:tcW w:w="6950" w:type="dxa"/>
            <w:tcBorders/>
            <w:shd w:fill="CCEEFF" w:val="clear"/>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ERISA</w:t>
            </w:r>
          </w:p>
        </w:tc>
      </w:tr>
      <w:tr>
        <w:trPr/>
        <w:tc>
          <w:tcPr>
            <w:tcW w:w="12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3.15</w:t>
            </w:r>
          </w:p>
        </w:tc>
        <w:tc>
          <w:tcPr>
            <w:tcW w:w="95" w:type="dxa"/>
            <w:tcBorders/>
            <w:shd w:fill="FFFFFF" w:val="cle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w:t>
            </w:r>
          </w:p>
        </w:tc>
        <w:tc>
          <w:tcPr>
            <w:tcW w:w="6950" w:type="dxa"/>
            <w:tcBorders/>
            <w:shd w:fill="FFFFFF" w:val="clear"/>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Real Estate</w:t>
            </w:r>
          </w:p>
        </w:tc>
      </w:tr>
      <w:tr>
        <w:trPr/>
        <w:tc>
          <w:tcPr>
            <w:tcW w:w="12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3.16</w:t>
            </w:r>
          </w:p>
        </w:tc>
        <w:tc>
          <w:tcPr>
            <w:tcW w:w="95" w:type="dxa"/>
            <w:tcBorders/>
            <w:shd w:fill="CCEEFF" w:val="cle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w:t>
            </w:r>
          </w:p>
        </w:tc>
        <w:tc>
          <w:tcPr>
            <w:tcW w:w="6950" w:type="dxa"/>
            <w:tcBorders/>
            <w:shd w:fill="CCEEFF" w:val="clear"/>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Insurance</w:t>
            </w:r>
          </w:p>
        </w:tc>
      </w:tr>
      <w:tr>
        <w:trPr/>
        <w:tc>
          <w:tcPr>
            <w:tcW w:w="12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3.17</w:t>
            </w:r>
          </w:p>
        </w:tc>
        <w:tc>
          <w:tcPr>
            <w:tcW w:w="95" w:type="dxa"/>
            <w:tcBorders/>
            <w:shd w:fill="FFFFFF" w:val="cle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w:t>
            </w:r>
          </w:p>
        </w:tc>
        <w:tc>
          <w:tcPr>
            <w:tcW w:w="6950" w:type="dxa"/>
            <w:tcBorders/>
            <w:shd w:fill="FFFFFF" w:val="clear"/>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Debt</w:t>
            </w:r>
          </w:p>
        </w:tc>
      </w:tr>
      <w:tr>
        <w:trPr/>
        <w:tc>
          <w:tcPr>
            <w:tcW w:w="12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3.22</w:t>
            </w:r>
          </w:p>
        </w:tc>
        <w:tc>
          <w:tcPr>
            <w:tcW w:w="95" w:type="dxa"/>
            <w:tcBorders/>
            <w:shd w:fill="CCEEFF" w:val="cle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w:t>
            </w:r>
          </w:p>
        </w:tc>
        <w:tc>
          <w:tcPr>
            <w:tcW w:w="6950" w:type="dxa"/>
            <w:tcBorders/>
            <w:shd w:fill="CCEEFF" w:val="clear"/>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Listing and Maintenance Requirements</w:t>
            </w:r>
          </w:p>
        </w:tc>
      </w:tr>
      <w:tr>
        <w:trPr/>
        <w:tc>
          <w:tcPr>
            <w:tcW w:w="12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8.6</w:t>
            </w:r>
          </w:p>
        </w:tc>
        <w:tc>
          <w:tcPr>
            <w:tcW w:w="95" w:type="dxa"/>
            <w:tcBorders/>
            <w:shd w:fill="FFFFFF" w:val="cle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w:t>
            </w:r>
          </w:p>
        </w:tc>
        <w:tc>
          <w:tcPr>
            <w:tcW w:w="69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Related Transactions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1889"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SECURITIES PURCHASE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April 14, 2026 (the “</w:t>
      </w:r>
      <w:r>
        <w:rPr>
          <w:rFonts w:ascii="Times New Roman;Times;Serif" w:hAnsi="Times New Roman;Times;Serif"/>
          <w:b/>
          <w:i w:val="false"/>
          <w:caps w:val="false"/>
          <w:smallCaps w:val="false"/>
          <w:sz w:val="20"/>
        </w:rPr>
        <w:t>Signing Date</w:t>
      </w:r>
      <w:r>
        <w:rPr>
          <w:rFonts w:ascii="Times New Roman;Times;Serif" w:hAnsi="Times New Roman;Times;Serif"/>
          <w:b w:val="false"/>
          <w:i w:val="false"/>
          <w:caps w:val="false"/>
          <w:smallCaps w:val="false"/>
          <w:sz w:val="20"/>
        </w:rPr>
        <w:t xml:space="preserve">”), is by and between, </w:t>
      </w:r>
      <w:r>
        <w:rPr>
          <w:rFonts w:ascii="Times New Roman;Times;Serif" w:hAnsi="Times New Roman;Times;Serif"/>
          <w:b/>
          <w:i w:val="false"/>
          <w:caps w:val="false"/>
          <w:smallCaps w:val="false"/>
          <w:sz w:val="20"/>
        </w:rPr>
        <w:t>FARADAY FUTURE INTELLIGENT ELECTRIC INC</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GOLD KING ARTHUR HOLDING LIMITED</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1889"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Purchaser previously entered into that certain securities purchase agreement, dated as of January 30, 2026 (the “</w:t>
      </w:r>
      <w:r>
        <w:rPr>
          <w:rFonts w:ascii="Times New Roman;Times;Serif" w:hAnsi="Times New Roman;Times;Serif"/>
          <w:b/>
          <w:i w:val="false"/>
          <w:caps w:val="false"/>
          <w:smallCaps w:val="false"/>
          <w:sz w:val="20"/>
        </w:rPr>
        <w:t>Initial Agreement</w:t>
      </w:r>
      <w:r>
        <w:rPr>
          <w:rFonts w:ascii="Times New Roman;Times;Serif" w:hAnsi="Times New Roman;Times;Serif"/>
          <w:b w:val="false"/>
          <w:i w:val="false"/>
          <w:caps w:val="false"/>
          <w:smallCaps w:val="false"/>
          <w:sz w:val="20"/>
        </w:rPr>
        <w:t>”), pursuant to which the Company agreed to issue and the Purchaser agreed to purchase an aggregate of $10 million of the Company’s Common Stock, at a Per Share Purchase Price equal to 100% of the closing price of the shares of Common Stock on the Trading Day immediately prior to the Closing Date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Purchaser desire to amend and restate in its entirety the Initial Agreement to, among other things (i) increase the Subscription Amount from $10 million to $12 million, $500,000 of which will be used to purchase shares of Common Stock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million of which will be used to be purchase a to-be-designated series of the Company’s preferred stock, par value $0.0001 per share; (ii) revise the Per Share Purchase Price, and (iii) remove the true-up provision set forth in Section 4.5 of the Initial Agreement in exchange for the issuance by the Company of a common stock purchase warrant to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subject to the terms and conditions set forth in this Agreement and pursuant to Section 4(a)(2) of the Securities Act (as defined below) and Regulation D promulgated thereunder, the Company desires to issue and sell to the Purchaser, and the Purchaser desires to purchase from the Company, securities of the Company as more fully described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IN CONSIDERATION </w:t>
      </w:r>
      <w:r>
        <w:rPr>
          <w:rFonts w:ascii="Times New Roman;Times;Serif" w:hAnsi="Times New Roman;Times;Serif"/>
          <w:b w:val="false"/>
          <w:i w:val="false"/>
          <w:caps w:val="false"/>
          <w:smallCaps w:val="false"/>
          <w:sz w:val="20"/>
        </w:rPr>
        <w:t>of the mutual covenants contained in this Agreement, and for other good and valuable consideration the receipt and adequacy of which are hereby acknowledged, the Company and the Purchaser agree to amend and restate the Initial Agreement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5327" w:right="0" w:hanging="2"/>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Capitalized terms used herein and not otherwise defined herein shall have the meanings ascribed to such terms on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Accounting Terms and Determinations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herein, all accounting terms used herein shall be interpreted, all accounting determinations hereunder (including without limitation determinations made pursuant to the exhibits hereto) shall be made, and all financial statements required to be delivered hereunder shall be prepared on a consolidated basis in accordance with GAAP consistently applied.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825-10 (or any other Financial Accounting Standard having a similar result or effect) to value any Indebtedness or other liabilities of the Issuer or any Subsidiary of the Issuer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Other Definitional Provisions and References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Agreement to “Articles”, “Sections”, “Annexes”, “Exhibits” or “Schedules” shall be to Articles, Sections, Annexes, Exhibits or Schedules of or to this Agreement unless otherwise specifically provided. Any term defined herein may be used in the singular or plural. “Include”, “includes” and “including” shall be deemed to be followed by “without limitation”. Except as otherwise specified or limited herein, references to any Person include the successors and assigns of such Person. References “from” or “through” any date mean, unless otherwise specified, “from and including” or “through and including”, respectively. Unless otherwise specified herein, the settlement of all payments and fundings hereunder between or among the parties hereto shall be made in lawful money of the United States and in immediately available funds. Time is of the essence for each performance obligation of the Issuer under this Agreement. All amounts used for purposes of financial calculations required to be made herein shall be without duplication. References to any statute or act shall include all related current regulations and all amendments and any successor statutes, acts and regulations. References to any statute or act, without additional reference, shall be deemed to refer to federal statutes and acts of the United States. References to any agreement, instrument or document shall include all schedules, exhibits, annexes and other attachments thereto. Unless otherwise expressly provided herein, references to agreements and other contractual instruments, including this Agreement, shall be deemed to include all subsequent amendments thereto, restatements and substitutions thereof and other modifications and supplements thereto which are in effect from time to time, but only to the extent such amendments and other modifications are not prohibited by the terms hereof. References to any statute or regulation may be made by using either the common or public name thereof or a specific cite reference and, except as otherwise provided with respect to FATCA, are to be construed as including all statutory and regulatory provisions related thereto or consolidating, amending, replacing, supplementing or interpreting the statute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Closing Date, upon the terms and subject to the conditions set forth herein, the Issuer agrees to sell, and the Purchaser agrees to purchase from the Issuer, a number of shares of Common Stock and shares of Series C Preferred Stock, in each case, equal to the applicable Subscription Amount indicated on the Purchaser’s signature page hereto divided by the Per Share Purchase Price, and the Warrant.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Purchaser shall deliver to the Company, via wire transfer, immediately available funds equal to the Purchaser’s Subscription Amount as set forth on the signature page hereto executed by the Purchaser shall be made available for Delivery Versus Payment (“</w:t>
      </w:r>
      <w:r>
        <w:rPr>
          <w:rFonts w:ascii="Times New Roman;Times;Serif" w:hAnsi="Times New Roman;Times;Serif"/>
          <w:b/>
          <w:i w:val="false"/>
          <w:caps w:val="false"/>
          <w:smallCaps w:val="false"/>
          <w:sz w:val="20"/>
        </w:rPr>
        <w:t>DVP</w:t>
      </w:r>
      <w:r>
        <w:rPr>
          <w:rFonts w:ascii="Times New Roman;Times;Serif" w:hAnsi="Times New Roman;Times;Serif"/>
          <w:b w:val="false"/>
          <w:i w:val="false"/>
          <w:caps w:val="false"/>
          <w:smallCaps w:val="false"/>
          <w:sz w:val="20"/>
        </w:rPr>
        <w:t>”) settlement with the Company or its designees. The Company shall deliver to the Purchaser the Securities, and the Company and the Purchaser shall deliver the other items set forth in Section 2.2 at the Closing. Upon satisfaction of the covenants and conditions set forth in Sections 2.2 and 5.1, the Closing shall occur remotely via the exchange of documents and signatures or such other location as the parties shall mutually agree. The settlement of the Shares shall occur via DVP (i.e., on the Closing Date, the Company shall issue the Shares registered in the Purchaser’s name and address and released by the Transfer Agent directly to the account identified by the Purchaser. Upon receipt of such Shares, the payment therefor shall promptly be made by wire transfer to the Company. The Purchaser’s aggregate Subscription Amount is $12,002,191.78. The Issuer hereby acknowledges and agrees that the Subscription Amount has been fully funded and satisfied as follows: (a) $10,000,000 in cash previously delivered to the Issuer via wire transfer, and (b) $2,002,191.78 via the immediate cancellation and extinguishment of all outstanding principal and accrued interest under that certain Loan Agreement, dated as of April 10, 2026, by and between the Issuer and the Purchaser (the “</w:t>
      </w:r>
      <w:r>
        <w:rPr>
          <w:rFonts w:ascii="Times New Roman;Times;Serif" w:hAnsi="Times New Roman;Times;Serif"/>
          <w:b/>
          <w:i w:val="false"/>
          <w:caps w:val="false"/>
          <w:smallCaps w:val="false"/>
          <w:sz w:val="20"/>
        </w:rPr>
        <w:t>Loan Agreement</w:t>
      </w:r>
      <w:r>
        <w:rPr>
          <w:rFonts w:ascii="Times New Roman;Times;Serif" w:hAnsi="Times New Roman;Times;Serif"/>
          <w:b w:val="false"/>
          <w:i w:val="false"/>
          <w:caps w:val="false"/>
          <w:smallCaps w:val="false"/>
          <w:sz w:val="20"/>
        </w:rPr>
        <w:t>”). Upon execution of this Agreement, the parties hereby acknowledge and agree that the Loan Agreement is hereby deemed terminated in its entirety and of no further force or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the Company shall not issue any Shares pursuant to this Agreement and the Purchaser shall not have the obligation to purchase any Shares pursuant to this Agreement to the extent (but only to the extent) that after giving effect to such purchase and sale, the aggregate number of shares of Common Stock issued to the Purchaser pursuant to this Agreement would exceed the Maximum Percentage or otherwise exceed the aggregate number of shares of Common Stock which the Company may issue without breaching the Company’s obligations under the rules and regulations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Deliverables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the Purchaser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Warrant duly executed by the Company;</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evidence reasonably satisfactory to the Purchaser that the Series C COD has been filed with the Secretary of State of the State of Delaware and the shares of Series C Convertible Preferred Stock to be purchased hereunder have been issued to the Purchaser on the books and records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legal opinion of Company Counsel;</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Company’s wire instructions, on Company letterhead and executed by the Company’s Co-Chief Executive Officer or Chief Financial Officer;</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copy of the irrevocable instructions to the Transfer Agent instructing the Transfer Agent to deliver on an expedited basis via The Depository Trust Company Deposit or Withdrawal at Custodian system (“</w:t>
      </w:r>
      <w:r>
        <w:rPr>
          <w:rFonts w:ascii="Times New Roman;Times;Serif" w:hAnsi="Times New Roman;Times;Serif"/>
          <w:b/>
          <w:i w:val="false"/>
          <w:caps w:val="false"/>
          <w:smallCaps w:val="false"/>
          <w:sz w:val="20"/>
        </w:rPr>
        <w:t>DWAC</w:t>
      </w:r>
      <w:r>
        <w:rPr>
          <w:rFonts w:ascii="Times New Roman;Times;Serif" w:hAnsi="Times New Roman;Times;Serif"/>
          <w:b w:val="false"/>
          <w:i w:val="false"/>
          <w:caps w:val="false"/>
          <w:smallCaps w:val="false"/>
          <w:sz w:val="20"/>
        </w:rPr>
        <w:t>”) the Purchaser’s shares of Common Stock to be purchased hereunder, registered in the name of the Purchaser;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Secretary’s Certificate, certifying that (i) knowledge of such individual, the representations and warrants of the Company in this Agreement are true and correct in all material respects, as if made on and as of the date hereof and the Closing Date; (ii) each of the Third Amended and restated Certificate of the Company, as amended from time to time, and the Certificate of Incorporation, Certificate of Formation or Articles of Incorporation as applicable, for each Domestic Subsidiary, and all amendments thereto, as attached to such certificate is true and complete, has not been modified and is in full force and effect as of the date hereof; (iii) the bylaws of the Company and bylaws or operating agreements, as applicable of each Domestic Subsidiary, and all amendments thereto, are in full force and effect as of the date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the resolutions of the Company’s board of directors relating to the Offering attached to such certificate are in full force and effect and have not been modified;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good standings of the Company and each Domestic Subsidiary, issued by the Secretary of the State of Delaware and California, as applicable, are true and correct.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the Purchaser shall deliver or cause to be delivered to the Company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 and</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Purchaser’s Subscription Amount, which shall be made available for DVP settlement with the Company or its designees.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spacing w:before="0" w:after="0"/>
        <w:ind w:left="3793" w:right="0" w:firstLine="168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the Purchaser to enter into this Agreement and to purchase the Securities and other transactions contemplated thereby, the Issuer hereby represents and warrants to the Purchaser that the following are true, correct and complete as of the Signing Date, and after giving effect to the consummation of the transactions contemplated by this Agreement will be, true, correct and complete as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Existence and Power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and each of its Domestic Subsidiaries (a) is an entity duly organized, validly existing and in good standing (to the extent applicable in the relevant jurisdiction) under the laws of its jurisdiction of incorporation, organization, or formation, which, with respect to the Issuer and each such Domestic Subsidiary, in existence as of the Closing Date, is specified on </w:t>
      </w:r>
      <w:r>
        <w:rPr>
          <w:rFonts w:ascii="Times New Roman;Times;Serif" w:hAnsi="Times New Roman;Times;Serif"/>
          <w:b w:val="false"/>
          <w:i w:val="false"/>
          <w:caps w:val="false"/>
          <w:smallCaps w:val="false"/>
          <w:sz w:val="20"/>
          <w:u w:val="single"/>
        </w:rPr>
        <w:t>Schedule 3.1</w:t>
      </w:r>
      <w:r>
        <w:rPr>
          <w:rFonts w:ascii="Times New Roman;Times;Serif" w:hAnsi="Times New Roman;Times;Serif"/>
          <w:b w:val="false"/>
          <w:i w:val="false"/>
          <w:caps w:val="false"/>
          <w:smallCaps w:val="false"/>
          <w:sz w:val="20"/>
        </w:rPr>
        <w:t xml:space="preserve">, has the same legal name as it appears in such Person’s Organizational Documents and an organizational identification number (if any), in each case as of the Closing Date as specified on </w:t>
      </w:r>
      <w:r>
        <w:rPr>
          <w:rFonts w:ascii="Times New Roman;Times;Serif" w:hAnsi="Times New Roman;Times;Serif"/>
          <w:b w:val="false"/>
          <w:i w:val="false"/>
          <w:caps w:val="false"/>
          <w:smallCaps w:val="false"/>
          <w:sz w:val="20"/>
          <w:u w:val="single"/>
        </w:rPr>
        <w:t>Schedule 3.1</w:t>
      </w:r>
      <w:r>
        <w:rPr>
          <w:rFonts w:ascii="Times New Roman;Times;Serif" w:hAnsi="Times New Roman;Times;Serif"/>
          <w:b w:val="false"/>
          <w:i w:val="false"/>
          <w:caps w:val="false"/>
          <w:smallCaps w:val="false"/>
          <w:sz w:val="20"/>
        </w:rPr>
        <w:t>, and (b) has all powers and all governmental licenses, authorizations, registrations, permits, consents and approvals required under all applicable Laws and required in order to carry on its business as now conducted (collectively,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xml:space="preserve">”), except where the failure to have such Permits could not reasonably be expected to have a Material Adverse Effect. The Issuer and each of its Domestic Subsidiaries is qualified to do business as a foreign entity in each jurisdiction in which it is required to be so qualified, except where the failure to be so qualified could not reasonably be expected to have a Material Adverse Effect. Except as set forth on </w:t>
      </w:r>
      <w:r>
        <w:rPr>
          <w:rFonts w:ascii="Times New Roman;Times;Serif" w:hAnsi="Times New Roman;Times;Serif"/>
          <w:b w:val="false"/>
          <w:i w:val="false"/>
          <w:caps w:val="false"/>
          <w:smallCaps w:val="false"/>
          <w:sz w:val="20"/>
          <w:u w:val="single"/>
        </w:rPr>
        <w:t>Schedule 3.1</w:t>
      </w:r>
      <w:r>
        <w:rPr>
          <w:rFonts w:ascii="Times New Roman;Times;Serif" w:hAnsi="Times New Roman;Times;Serif"/>
          <w:b w:val="false"/>
          <w:i w:val="false"/>
          <w:caps w:val="false"/>
          <w:smallCaps w:val="false"/>
          <w:sz w:val="20"/>
        </w:rPr>
        <w:t xml:space="preserve"> or in the SEC Reports, neither the Issuer nor any of its Domestic Subsidiaries has had, over the five (5) year period preceding the Closing Date, any name other than its current name or was incorporated or organized under the laws of any jurisdiction other than its current jurisdiction of incorporation or organization. As of the Closing Date, except for the Subsidiaries set forth on </w:t>
      </w:r>
      <w:r>
        <w:rPr>
          <w:rFonts w:ascii="Times New Roman;Times;Serif" w:hAnsi="Times New Roman;Times;Serif"/>
          <w:b w:val="false"/>
          <w:i w:val="false"/>
          <w:caps w:val="false"/>
          <w:smallCaps w:val="false"/>
          <w:sz w:val="20"/>
          <w:u w:val="single"/>
        </w:rPr>
        <w:t>Schedule 3.1</w:t>
      </w:r>
      <w:r>
        <w:rPr>
          <w:rFonts w:ascii="Times New Roman;Times;Serif" w:hAnsi="Times New Roman;Times;Serif"/>
          <w:b w:val="false"/>
          <w:i w:val="false"/>
          <w:caps w:val="false"/>
          <w:smallCaps w:val="false"/>
          <w:sz w:val="20"/>
        </w:rPr>
        <w:t xml:space="preserve"> or in the SEC Reports, no Subsidiary exists.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Organizational Authority and Governmental Authorization; No Contravention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the Issuer of this Agreement (a) are within its corporate powers, (b) have been duly authorized by all necessary action pursuant to its Organizational Documents, (c) require no further approval, consent, exemption, authorization or other action by or in respect of, or filing with, or notice to, any Governmental Authority with respect to any shares of Common Stock except for (i) the approvals, consents, exemptions, authorizations, actions, notices and filings that have been duly obtained, taken, given or made and are in full force and effect and (ii) those approvals, consents exemptions, authorization, actions, notices and filings, the failure of which to obtain or make has not resulted in, or could not reasonably be expected, individually or in the aggregate to result in a Material Adverse Effect and (d) do not violate, conflict with or cause a breach or a default under or a right of termination under (i) any of the Organizational Documents of the Issuer and each of its Domestic Subsidiaries; or (ii) any applicable Law or any contract, agreement, lease or other instrument binding upon it or its properties, except for such violations, conflicts, breaches or defaults or rights of termination as could not, with respect to this clause (d)(ii),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a valid and binding agreement or instrument of the Issuer, enforceable against the Issuer in accordance with its respective terms, except as the enforceability thereof may be limited by bankruptcy, insolvency or other similar laws relating to the enforcement of creditors’ rights generally and by general equitable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authorized and issued and outstanding Capital Stock of each of the Issuer and each Domestic Subsidiary as of the Signing Date is as set forth on </w:t>
      </w:r>
      <w:r>
        <w:rPr>
          <w:rFonts w:ascii="Times New Roman;Times;Serif" w:hAnsi="Times New Roman;Times;Serif"/>
          <w:b w:val="false"/>
          <w:i w:val="false"/>
          <w:caps w:val="false"/>
          <w:smallCaps w:val="false"/>
          <w:sz w:val="20"/>
          <w:u w:val="single"/>
        </w:rPr>
        <w:t>Schedule 3.4</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3.4</w:t>
      </w:r>
      <w:r>
        <w:rPr>
          <w:rFonts w:ascii="Times New Roman;Times;Serif" w:hAnsi="Times New Roman;Times;Serif"/>
          <w:b w:val="false"/>
          <w:i w:val="false"/>
          <w:caps w:val="false"/>
          <w:smallCaps w:val="false"/>
          <w:sz w:val="20"/>
        </w:rPr>
        <w:t xml:space="preserve">, all issued and outstanding Capital Stock of each such Person is duly authorized and validly issued, fully paid, non-assessable (to the extent that such concepts apply to such Capital Stock), free and clear of all liens and such Capital Stock was issued in compliance with all applicable laws. The identity of the holders of the Capital Stock of each Domestic Subsidiary and the percentage of the fully diluted ownership of the Capital Stock of each such Person as of the Signing Date is set forth on </w:t>
      </w:r>
      <w:r>
        <w:rPr>
          <w:rFonts w:ascii="Times New Roman;Times;Serif" w:hAnsi="Times New Roman;Times;Serif"/>
          <w:b w:val="false"/>
          <w:i w:val="false"/>
          <w:caps w:val="false"/>
          <w:smallCaps w:val="false"/>
          <w:sz w:val="20"/>
          <w:u w:val="single"/>
        </w:rPr>
        <w:t>Schedule 3.4</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3.4</w:t>
      </w:r>
      <w:r>
        <w:rPr>
          <w:rFonts w:ascii="Times New Roman;Times;Serif" w:hAnsi="Times New Roman;Times;Serif"/>
          <w:b w:val="false"/>
          <w:i w:val="false"/>
          <w:caps w:val="false"/>
          <w:smallCaps w:val="false"/>
          <w:sz w:val="20"/>
        </w:rPr>
        <w:t xml:space="preserve"> or in the SEC Reports, as of the Signing Date there are no preemptive or other outstanding rights, options, warrants, conversion rights or similar agreements or understandings for the purchase or acquisition of the Issuer or any Domestic Subsidiary of any Capital Stock of any such Person.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Annual Financial Statements</w:t>
      </w:r>
      <w:r>
        <w:rPr>
          <w:rFonts w:ascii="Times New Roman;Times;Serif" w:hAnsi="Times New Roman;Times;Serif"/>
          <w:b w:val="false"/>
          <w:i w:val="false"/>
          <w:caps w:val="false"/>
          <w:smallCaps w:val="false"/>
          <w:sz w:val="20"/>
        </w:rPr>
        <w:t>. The historical annual financial statements of the Issuer and its Subsidiaries as of December 31, 2024, copies of which have been delivered to the Purchaser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filing of such historical annual financials with the Commission shall constitute delivery to the Purchaser), (i) were prepared substantially in accordance with GAAP consistently applied throughout the period covered thereby, except as otherwise expressly noted therein; (ii) fairly present, in all material respects, the financial condition of such Persons as of such date and their results of operations for the periods covered thereby in accordance with GAAP consistently applied throughout the periods covered thereby, except as otherwise expressly noted therein; and (iii) show all material indebtedness and other liabilities, direct or contingent, of such Persons as of such date, including liabilities for taxes, material commitments and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Unaudited Interim Financial Statements</w:t>
      </w:r>
      <w:r>
        <w:rPr>
          <w:rFonts w:ascii="Times New Roman;Times;Serif" w:hAnsi="Times New Roman;Times;Serif"/>
          <w:b w:val="false"/>
          <w:i w:val="false"/>
          <w:caps w:val="false"/>
          <w:smallCaps w:val="false"/>
          <w:sz w:val="20"/>
        </w:rPr>
        <w:t>. The historical interim financial statement of the Issuer and its Subsidiaries as of March 31, 2025, June 30, 2025, and September 30, 2025, copies of which have been delivered to the Purchaser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filing of such historical interim financials with the Commission shall constitute delivery to the Purchaser), (i) were prepared substantially in accordance with GAAP consistently applied throughout the periods covered thereby, except as otherwise expressly noted therein, and (ii) fairly present, in all material respects, the financial condition of such Persons as of such date and their results of operations for the periods covered thereby, subject, in the case of clauses (i) and (ii), to the absence of footnotes and to normal year-end audit adjustments and adjustments for purchase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historical financials that the Issuer filed with the Commission via EDGAR shall be deemed to have been delivered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3.6</w:t>
      </w:r>
      <w:r>
        <w:rPr>
          <w:rFonts w:ascii="Times New Roman;Times;Serif" w:hAnsi="Times New Roman;Times;Serif"/>
          <w:b w:val="false"/>
          <w:i w:val="false"/>
          <w:caps w:val="false"/>
          <w:smallCaps w:val="false"/>
          <w:sz w:val="20"/>
        </w:rPr>
        <w:t xml:space="preserve"> or in the SEC Reports, there is no Litigation involving monetary damages in excess of $2,500,000 in the aggregate pending against, or, to the knowledge of the Issuer or any of its Domestic Subsidiaries, threatened in writing against the Issuer, any of its Domestic Subsidiaries or any of their respective properties.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Ownership of Property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xml:space="preserve"> or in the SEC Reports, the Issuer and each of its Domestic Subsidiaries is the lawful owner of, has good and marketable title to and is in lawful possession of, or has valid leasehold interests in, license to or right to use, all properties and other assets (except for real property interests, which is covered in </w:t>
      </w: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 reported by the Issuer or such Domestic Subsidiary to be owned or leased (as the case may be) by such Person, except (i) for any such properties which are immaterial to the operations of the Issuer’s or such Domestic Subsidiary’s respective business or (ii) as may have been disposed of in the Ordinary Course of Business or otherwise in compliance with the terms hereof.</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no strikes or other labor disputes pending or threatened against the Issuer or any of its Domestic Subsidiaries, which could reasonably be expected to have a Material Adverse Effect. Since January 1, 2021, hours worked and payments made to the employees of the Issuer and each of its Domestic Subsidiaries have not been in violation, in any material respect, of the Fair Labor Standards Act or any other applicable Law dealing with such matters. All payments due from the Issuer and its Domestic Subsidiaries, or for which any claim may be made against any of them, on account of wages and employee and retiree health and welfare insurance and other benefits have been paid or accrued as a liability on their books, as the case may be, except as could not reasonably be expected to have a Material Adverse Effect. As of each Closing Date, all pending strikes and material labor disputes related to any collective bargaining agreements to which the Issuer or any of its Domestic Subsidiaries is a party are set forth on </w:t>
      </w: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 xml:space="preserve"> or in the SEC Reports. All material payments due from the Issuer or any of its Domestic Subsidiaries on account of (a) workers’ compensation, employee health plans, social security and welfare insurance and employee income tax source deductions and vacation pay; and (b) the equivalent plans of those specified in subsection (a) in each foreign (non-U.S.) jurisdiction where the Issuer or any such Domestic Subsidiary carries on business, in each case, have been paid in full to date or accrued as a liability on the books of the Issuer and each such Domestic Subsidiary . Neither the Issuer nor any of its Domestic Subsidiaries has any obligation under any collective bargaining agreement which would be reasonably expected to result in a Material Adverse Effect. There is no material organizing activity involving the Issuer or any of its Domestic Subsidiaries by any labor union or group of employees which would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Issuer nor any of its Domestic Subsidiaries is an “investment company” or a company “controlled” by an “investment company” or a “subsidiary” of an “investment company,” all within the meaning of the Investment Company Act of 1940. The Issuer and its Domestic Subsidiaries are not subject to regulation under the Federal Power Act, the Interstate Commerce Act, any state public utilities code, or any other federal or state statute, rule or regulation limiting its ability to incur Debt, or which may render its obligations under this Agreement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Compliance With Laws; Anti-Terrorism Laws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Laws Generally</w:t>
      </w:r>
      <w:r>
        <w:rPr>
          <w:rFonts w:ascii="Times New Roman;Times;Serif" w:hAnsi="Times New Roman;Times;Serif"/>
          <w:b w:val="false"/>
          <w:i w:val="false"/>
          <w:caps w:val="false"/>
          <w:smallCaps w:val="false"/>
          <w:sz w:val="20"/>
        </w:rPr>
        <w:t>. The Issuer and each Domestic Subsidiary is in compliance with the requirements of all applicable Laws, except to the extent such noncompliance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Anti-Terrorism Laws</w:t>
      </w:r>
      <w:r>
        <w:rPr>
          <w:rFonts w:ascii="Times New Roman;Times;Serif" w:hAnsi="Times New Roman;Times;Serif"/>
          <w:b w:val="false"/>
          <w:i w:val="false"/>
          <w:caps w:val="false"/>
          <w:smallCaps w:val="false"/>
          <w:sz w:val="20"/>
        </w:rPr>
        <w:t>. Neither the Issuer nor any of its Domestic Subsidiaries, or, to the knowledge of the Issuer and its Domestic Subsidiaries, none of their Affiliates (i) is in violation of any Anti-Terrorism Law, or (ii) is a Blocked Person, or is controlled by a Blocked Person. Neither the Issuer nor any of its Domestic Subsidiaries, or, to the knowledge of the Issuer and its Domestic Subsidiaries, none of their Affiliates, (A) conducts any business or engages in making or receiving any contribution of funds, goods or services to or for the benefit of any Blocked Person, or (B) deals in any property or interest in property blocked pursuant to Executive Order No. 13224, any similar executive order or other Anti-Terrorism Law. No part of the proceeds from the issuance of the Shares will be used directly or, to the knowledge of the Issuer and its Domestic Subsidiaries, indirectly for any payments to any government official or employee, political party, official of a political party, candidate for political office, or anyone else acting in an official capacity, in order to obtain, retain or direct business or obtain any improper advantage, in violation of the FCPA or any other applicable Law dealing with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3.11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3.11</w:t>
      </w:r>
      <w:r>
        <w:rPr>
          <w:rFonts w:ascii="Times New Roman;Times;Serif" w:hAnsi="Times New Roman;Times;Serif"/>
          <w:b w:val="false"/>
          <w:i w:val="false"/>
          <w:caps w:val="false"/>
          <w:smallCaps w:val="false"/>
          <w:sz w:val="20"/>
        </w:rPr>
        <w:t xml:space="preserve"> or in the SEC Reports, all federal, state and foreign tax returns, reports and statements required to be filed by or on behalf of the Issuer or any Domestic Subsidiary have been timely filed with the appropriate Governmental Authorities in each jurisdiction in which such returns, reports and statements are required to be filed and, except to the extent subject to a Permitted Contest, all taxes (including sales, employment and real property taxes) and other charges shown to be due and payable in respect thereof or otherwise due from the Issuer or any Domestic Subsidiary in any material amount have been timely paid prior to the date on which any fine, penalty, interest, late charge or loss may be added thereto for nonpayment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3.12 </w:t>
      </w:r>
      <w:r>
        <w:rPr>
          <w:rFonts w:ascii="Times New Roman;Times;Serif" w:hAnsi="Times New Roman;Times;Serif"/>
          <w:b w:val="false"/>
          <w:i w:val="false"/>
          <w:caps w:val="false"/>
          <w:smallCaps w:val="false"/>
          <w:sz w:val="20"/>
          <w:u w:val="single"/>
        </w:rPr>
        <w:t>Compliance with ERISA; Foreign Benefit Plans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ERISA Plans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3.12</w:t>
      </w:r>
      <w:r>
        <w:rPr>
          <w:rFonts w:ascii="Times New Roman;Times;Serif" w:hAnsi="Times New Roman;Times;Serif"/>
          <w:b w:val="false"/>
          <w:i w:val="false"/>
          <w:caps w:val="false"/>
          <w:smallCaps w:val="false"/>
          <w:sz w:val="20"/>
        </w:rPr>
        <w:t xml:space="preserve"> lists all Pension Plans and Multiemployer Plans of the Issuer and its Domestic Subsidiaries. Except as could not reasonably be expected to have a Material Adverse Effect, each ERISA Plan (and the related trusts and funding agreements) complies in form and in operation with, has been administered in material compliance with, and the terms of each ERISA Plan satisfies, the applicable requirements of ERISA and the Code in all material respects. Each ERISA Plan which is intended to be qualified under Section 401(a) of the Code is so qualified, and the United States Internal Revenue Service has issued a favorable determination letter with respect to each such ERISA Plan which may be relied on currently. Neither the Issuer nor any of its Domestic Subsidiaries has incurred liability for any material excise tax under any of Sections 4971 through 5000 of the Code.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Pension Plans and Multiemployer Plans</w:t>
      </w:r>
      <w:r>
        <w:rPr>
          <w:rFonts w:ascii="Times New Roman;Times;Serif" w:hAnsi="Times New Roman;Times;Serif"/>
          <w:b w:val="false"/>
          <w:i w:val="false"/>
          <w:caps w:val="false"/>
          <w:smallCaps w:val="false"/>
          <w:sz w:val="20"/>
        </w:rPr>
        <w:t>. During the thirty-six (36) month period prior to the issuance of the Shares, (i) no steps have been taken to terminate any Pension Plan and (ii) no failure to make contributions with respect to any Pension Plan sufficient to give rise to a Lien under the Code has occurred. All amounts required by Code Sections 412 and 430 to be funded by the Issuer or any Domestic Subsidiary or any member of a Controlled Group with respect to a Pension Plan have been made in compliance therewith. No condition exists or event or transaction has occurred with respect to any Pension Plan which could result in the incurrence by the Issuer and Domestic Subsidiaries, taken as a whole, of any liabilities, fines and penalties exceeding $500,000 (excluding, for the avoidance of doubt, current PBGC premiums or other contributions required by ERISA or other applicable Law in the ordinary course). The Issuer and Domestic Subsidiaries, taken as a whole, have not incurred liabilities exceeding $500,000 to the PBGC (other than for current premiums) with respect to any Pension Plan. All contributions (if any) have been made on a timely basis to any Multiemployer Plan that are required to be made by the Issuer, any of its Domestic Subsidiaries or any member of the Controlled Group under the terms of such plan, any collective bargaining agreement, or by applicable Law. Neither the Issuer, any of its Domestic Subsidiaries nor any member of the Controlled Group (A) has withdrawn or partially withdrawn from any Multiemployer Plan, (B) has incurred any withdrawal liability with respect to any such plan, or (C) has received notice of any claim or demand for withdrawal liability or partial withdrawal liability from any such plan (in each case with respect to which there is any unsatisfied withdrawal liability). No member of the Controlled Group has received any written notice that a Multiemployer Plan is in reorganization or termination, that increased contributions may be required to avoid a reduction in plan benefits or the imposition of any excise tax, that any such plan is or has been funded at a rate less than that required under Section 412 or Section 431 of the Code, that any such plan is or may be terminated, or that any such plan is or is expected to become insolvent.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each program, plan or arrangement mandated by a government other than the United States providing for post-employment benefits (each a “</w:t>
      </w:r>
      <w:r>
        <w:rPr>
          <w:rFonts w:ascii="Times New Roman;Times;Serif" w:hAnsi="Times New Roman;Times;Serif"/>
          <w:b/>
          <w:i w:val="false"/>
          <w:caps w:val="false"/>
          <w:smallCaps w:val="false"/>
          <w:sz w:val="20"/>
        </w:rPr>
        <w:t>Foreign Government Benefit Plan</w:t>
      </w:r>
      <w:r>
        <w:rPr>
          <w:rFonts w:ascii="Times New Roman;Times;Serif" w:hAnsi="Times New Roman;Times;Serif"/>
          <w:b w:val="false"/>
          <w:i w:val="false"/>
          <w:caps w:val="false"/>
          <w:smallCaps w:val="false"/>
          <w:sz w:val="20"/>
        </w:rPr>
        <w:t>”) and with respect to each employee benefit plan maintained or contributed to by the Issuer or any Domestic Subsidiary that is not subject to Laws of the United States providing for post-employment benefits (each, a “</w:t>
      </w:r>
      <w:r>
        <w:rPr>
          <w:rFonts w:ascii="Times New Roman;Times;Serif" w:hAnsi="Times New Roman;Times;Serif"/>
          <w:b/>
          <w:i w:val="false"/>
          <w:caps w:val="false"/>
          <w:smallCaps w:val="false"/>
          <w:sz w:val="20"/>
        </w:rPr>
        <w:t>Foreign Plan</w:t>
      </w:r>
      <w:r>
        <w:rPr>
          <w:rFonts w:ascii="Times New Roman;Times;Serif" w:hAnsi="Times New Roman;Times;Serif"/>
          <w:b w:val="false"/>
          <w:i w:val="false"/>
          <w:caps w:val="false"/>
          <w:smallCaps w:val="false"/>
          <w:sz w:val="20"/>
        </w:rPr>
        <w:t>”), to the Issuer’s and its Domestic Subsidiaries’ knowledge: (i) all employee and employee contributions required by Law or by the terms of any Foreign Government Benefit Plan or any Foreign Plan have been made, or, if applicable, accrued, in accordance with normal accounting practices, (ii) the liability of the Issuer or any Domestic Subsidiary with respect to a Foreign Plan is reflected in accordance with normal accounting practices or the financial statements of the Issuer or such Domestic Subsidiary, as the case may be and (iii) each Foreign Plan required to be registered has been registered and has been maintained in good standing with applicable regulatory authorities unless in each case under the foregoing clauses (i), (ii) and (iii), the failure to do so could not, individually or in the aggregate,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3.13 </w:t>
      </w:r>
      <w:r>
        <w:rPr>
          <w:rFonts w:ascii="Times New Roman;Times;Serif" w:hAnsi="Times New Roman;Times;Serif"/>
          <w:b w:val="false"/>
          <w:i w:val="false"/>
          <w:caps w:val="false"/>
          <w:smallCaps w:val="false"/>
          <w:sz w:val="20"/>
          <w:u w:val="single"/>
        </w:rPr>
        <w:t>Environmental Compliance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No Hazardous Materials (i) are currently located on any properties owned, leased or operated by the Issuer or any Domestic Subsidiary in violation of any Environmental Law, except for violations which could not reasonably be expected to have a Material Adverse Effect, or (ii) have been released into the environment, or deposited, discharged, placed or disposed of at, on, under or near any of such properties in a manner that would require the taking of any action by the Issuer or any Domestic Subsidiary under any Environmental Law and have resulted in, or could reasonably be expected to result in, a Material Adverse Effect. No portion of any such property is being used, or to the Issuer’s or its Domestic Subsidiaries’ knowledge, has been used at any previous time, for the disposal, storage, treatment, processing or other handling of Hazardous Materials in material violation of any Environmental Law nor to the Issuer’s or its Domestic Subsidiaries’ knowledge is any such property affected by any Hazardous Materials Contamination, which in each case, would reasonably be expected to result in a Material Adverse Effect. All written notifications of a release of Hazardous Materials required to be filed by or on behalf of the Issuer or any Domestic Subsidiary under any applicable Environmental Law have been filed or are in the process of being timely filed by or on behalf of the Issuer or Domestic Subsidiary, except where the failure to do so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Notices Regarding Environmental Compliance</w:t>
      </w:r>
      <w:r>
        <w:rPr>
          <w:rFonts w:ascii="Times New Roman;Times;Serif" w:hAnsi="Times New Roman;Times;Serif"/>
          <w:b w:val="false"/>
          <w:i w:val="false"/>
          <w:caps w:val="false"/>
          <w:smallCaps w:val="false"/>
          <w:sz w:val="20"/>
        </w:rPr>
        <w:t>. No written notice, notification, demand, request for information, citation, summons, complaint or order has been issued, no complaint has been filed, no penalty has been assessed and no investigation or review is pending, or to the Issuer’s or and its Domestic Subsidiaries’ knowledge, threatened by any Governmental Authority or other Person with respect to any (i) alleged violation by the Issuer or any Domestic Subsidiary of any Environmental Law, (ii) alleged failure by the Issuer or any such Domestic Subsidiary to have any Permits required in connection with the conduct of its business or to comply with the terms and conditions thereof, (iii) any generation, treatment, storage, recycling, transportation or disposal of any Hazardous Materials or (iv) release of Hazardous Materials, except in each case of the foregoing to the extent as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Properties Requiring Remediation</w:t>
      </w:r>
      <w:r>
        <w:rPr>
          <w:rFonts w:ascii="Times New Roman;Times;Serif" w:hAnsi="Times New Roman;Times;Serif"/>
          <w:b w:val="false"/>
          <w:i w:val="false"/>
          <w:caps w:val="false"/>
          <w:smallCaps w:val="false"/>
          <w:sz w:val="20"/>
        </w:rPr>
        <w:t>. No property now owned or leased by the Issuer or any Domestic Subsidiary and, to the Issuer’s or its Domestic Subsidiaries’ knowledge, no such property previously owned or leased by the Issuer or any such Domestic Subsidiary, to which the Issuer or any such Domestic Subsidiary has, directly or indirectly, transported or arranged for the transportation of any Hazardous Materials, is listed or, to the Issuer’s or any of its Domestic Subsidiaries’ knowledge, proposed for listing, on the National Priorities List promulgated pursuant to SEMS or any state list or is the subject of federal, state or local enforcement actions or other investigations which may lead to claims against the Issuer or any such Domestic Subsidiary for clean-up costs, remedial work, damage to natural resources or personal injury claims, including, but not limited to, claims under CERCLA or RCRA, except, in each case of the foregoing, to the extent as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Underground Storage Tanks</w:t>
      </w:r>
      <w:r>
        <w:rPr>
          <w:rFonts w:ascii="Times New Roman;Times;Serif" w:hAnsi="Times New Roman;Times;Serif"/>
          <w:b w:val="false"/>
          <w:i w:val="false"/>
          <w:caps w:val="false"/>
          <w:smallCaps w:val="false"/>
          <w:sz w:val="20"/>
        </w:rPr>
        <w:t>. Neither the Issuer nor any of its Domestic Subsidiaries operates any underground storage tanks on any property owned or leased by the Issuer or any Domestic Subsidiary that are not registered or permitted in accordance with applicable Environmental Laws or that the Issuer or any of its Domestic Subsidiaries is required to monitor, maintain, retrofit, upgrade, investigate, abate, remediate or remove under Environmental Law, except to the extent as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Environmental Liens</w:t>
      </w:r>
      <w:r>
        <w:rPr>
          <w:rFonts w:ascii="Times New Roman;Times;Serif" w:hAnsi="Times New Roman;Times;Serif"/>
          <w:b w:val="false"/>
          <w:i w:val="false"/>
          <w:caps w:val="false"/>
          <w:smallCaps w:val="false"/>
          <w:sz w:val="20"/>
        </w:rPr>
        <w:t>. No Liens exist under or pursuant to any applicable Environmental Laws on any real property or other assets owned by the Issuer or any Domestic Subsidiary, and to the Issuer’s or any of its Domestic Subsidiaries’ knowledge no actions by any Governmental Authority have been taken or are in process which could subject any of such properties or assets to such Liens, except to the extent as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3.14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each Domestic Subsidiary owns, is licensed to use or otherwise has the right to use, all Intellectual Property Rights that are material to the business or operations of the Issuer or such Domestic Subsidiary as currently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3.15 </w:t>
      </w:r>
      <w:r>
        <w:rPr>
          <w:rFonts w:ascii="Times New Roman;Times;Serif" w:hAnsi="Times New Roman;Times;Serif"/>
          <w:b w:val="false"/>
          <w:i w:val="false"/>
          <w:caps w:val="false"/>
          <w:smallCaps w:val="false"/>
          <w:sz w:val="20"/>
          <w:u w:val="single"/>
        </w:rPr>
        <w:t>Real Property Interests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 xml:space="preserve"> or in the SEC Reports, neither the Issuer nor any Domestic Subsidiary has any ownership, leasehold or other possessory interest in real property. </w:t>
      </w: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 xml:space="preserve"> sets forth, with respect to each parcel of real estate owned or leased by the Issuer or any Domestic Subsidiary, the street address of each such parcel.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3.16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3.16</w:t>
      </w:r>
      <w:r>
        <w:rPr>
          <w:rFonts w:ascii="Times New Roman;Times;Serif" w:hAnsi="Times New Roman;Times;Serif"/>
          <w:b w:val="false"/>
          <w:i w:val="false"/>
          <w:caps w:val="false"/>
          <w:smallCaps w:val="false"/>
          <w:sz w:val="20"/>
        </w:rPr>
        <w:t xml:space="preserve"> or in the SEC Reports, the Issuer does not maintain any other insurance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3.17 </w:t>
      </w:r>
      <w:r>
        <w:rPr>
          <w:rFonts w:ascii="Times New Roman;Times;Serif" w:hAnsi="Times New Roman;Times;Serif"/>
          <w:b w:val="false"/>
          <w:i w:val="false"/>
          <w:caps w:val="false"/>
          <w:smallCaps w:val="false"/>
          <w:sz w:val="20"/>
          <w:u w:val="single"/>
        </w:rPr>
        <w:t>Debt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Set forth on </w:t>
      </w:r>
      <w:r>
        <w:rPr>
          <w:rFonts w:ascii="Times New Roman;Times;Serif" w:hAnsi="Times New Roman;Times;Serif"/>
          <w:b w:val="false"/>
          <w:i w:val="false"/>
          <w:caps w:val="false"/>
          <w:smallCaps w:val="false"/>
          <w:sz w:val="20"/>
          <w:u w:val="single"/>
        </w:rPr>
        <w:t>Schedule 3.17</w:t>
      </w:r>
      <w:r>
        <w:rPr>
          <w:rFonts w:ascii="Times New Roman;Times;Serif" w:hAnsi="Times New Roman;Times;Serif"/>
          <w:b w:val="false"/>
          <w:i w:val="false"/>
          <w:caps w:val="false"/>
          <w:smallCaps w:val="false"/>
          <w:sz w:val="20"/>
        </w:rPr>
        <w:t xml:space="preserve"> or in the SEC Reports is a true and complete list of all Debt of the Issuer and such Schedule accurately sets forth the aggregate principal amount of such Debt as of the Signing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3.18 </w:t>
      </w:r>
      <w:r>
        <w:rPr>
          <w:rFonts w:ascii="Times New Roman;Times;Serif" w:hAnsi="Times New Roman;Times;Serif"/>
          <w:b w:val="false"/>
          <w:i w:val="false"/>
          <w:caps w:val="false"/>
          <w:smallCaps w:val="false"/>
          <w:sz w:val="20"/>
          <w:u w:val="single"/>
        </w:rPr>
        <w:t>Material Non-Public Information</w:t>
      </w:r>
      <w:r>
        <w:rPr>
          <w:rFonts w:ascii="Times New Roman;Times;Serif" w:hAnsi="Times New Roman;Times;Serif"/>
          <w:b w:val="false"/>
          <w:i w:val="false"/>
          <w:caps w:val="false"/>
          <w:smallCaps w:val="false"/>
          <w:sz w:val="20"/>
        </w:rPr>
        <w:t>. All material non-public information regarding the Issuer or any Domestic Subsidiary that has been disclosed to the Purchaser on or prior to the date hereof, has been disclosed, or will be disclosed, in the 8-K filing to be made by the Issuer prior to the commencement of trading on the first Trading Day following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3.19 </w:t>
      </w:r>
      <w:r>
        <w:rPr>
          <w:rFonts w:ascii="Times New Roman;Times;Serif" w:hAnsi="Times New Roman;Times;Serif"/>
          <w:b w:val="false"/>
          <w:i w:val="false"/>
          <w:caps w:val="false"/>
          <w:smallCaps w:val="false"/>
          <w:sz w:val="20"/>
          <w:u w:val="single"/>
        </w:rPr>
        <w:t>Private Offering</w:t>
      </w:r>
      <w:r>
        <w:rPr>
          <w:rFonts w:ascii="Times New Roman;Times;Serif" w:hAnsi="Times New Roman;Times;Serif"/>
          <w:b w:val="false"/>
          <w:i w:val="false"/>
          <w:caps w:val="false"/>
          <w:smallCaps w:val="false"/>
          <w:sz w:val="20"/>
        </w:rPr>
        <w:t xml:space="preserve">. Assuming the accuracy of the Purchaser’s representations and warranties contained in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no registration of the Securities pursuant to the provisions of the Securities Act or state securities or “blue sky” laws will be required for the offer, sale or issuance of the Securities by the Issuer to the Purchaser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3.20 </w:t>
      </w:r>
      <w:r>
        <w:rPr>
          <w:rFonts w:ascii="Times New Roman;Times;Serif" w:hAnsi="Times New Roman;Times;Serif"/>
          <w:b w:val="false"/>
          <w:i w:val="false"/>
          <w:caps w:val="false"/>
          <w:smallCaps w:val="false"/>
          <w:sz w:val="20"/>
          <w:u w:val="single"/>
        </w:rPr>
        <w:t>Sanctions; Anti-Corruption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Issuer nor any of its Domestic Subsidiaries, nor, to the knowledge of the Issuer or any Domestic Subsidiary, any employee, agent, or affiliate of the Issuer or any of its Domestic Subsidiaries is an individual or entity that is, or is owned or controlled by persons that are: (i) the subject of any sanctions administered or enforced by OFAC, the U.S. Department of State, the United Nations Security Council, the European Union, the Government of Canada, Her Majesty’s Treasury,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or (ii) located, organized or resident in a country or territory that is, or whose government is, the subject of Sanctions (including Crimea, Cuba, Iran, North Korea and Syria).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its Domestic Subsidiaries and their respective directors and officers and, to the knowledge of the Issuer and any Domestic Subsidiary, any employees and the agents of the Issuer and its Domestic Subsidiaries, are in compliance with all applicable Sanctions and with the FCPA and any other applicable anti-corruption law. The Issuer and their Domestic Subsidiaries have instituted and maintain policies and procedures designed to ensure continued compliance with applicable Sanctions, the FCPA, and any other applicable anti-corruption laws.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3.21 </w:t>
      </w:r>
      <w:r>
        <w:rPr>
          <w:rFonts w:ascii="Times New Roman;Times;Serif" w:hAnsi="Times New Roman;Times;Serif"/>
          <w:b w:val="false"/>
          <w:i w:val="false"/>
          <w:caps w:val="false"/>
          <w:smallCaps w:val="false"/>
          <w:sz w:val="20"/>
          <w:u w:val="single"/>
        </w:rPr>
        <w:t>Issuance of the Securities</w:t>
      </w:r>
      <w:r>
        <w:rPr>
          <w:rFonts w:ascii="Times New Roman;Times;Serif" w:hAnsi="Times New Roman;Times;Serif"/>
          <w:b w:val="false"/>
          <w:i w:val="false"/>
          <w:caps w:val="false"/>
          <w:smallCaps w:val="false"/>
          <w:sz w:val="20"/>
        </w:rPr>
        <w:t>. The Warrant has been duly authorized and, when issued and paid for in accordance herewith and therewith, will constitute a valid and binding obligation of the Issuer, enforceable against the Issuer in accordance with the terms therein, except as enforcement thereof may be limited by applicable laws relating to bankruptcy, insolvency, fraudulent conveyance and other similar laws and by general equitable principles. The issuance of the Underlying Shares and the shares of Series C Convertible Preferred Stock issuable to the Purchaser hereunder have been duly authorized and when issued in accordance with the terms of the Transaction Documents, will be validly issued, fully paid and nonassessable, free and clear of all liens imposed by the Issuer other than restrictions on transfer provided for in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3.22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xml:space="preserve">. The Common Stock is registered pursuant to Section 12(b) or 12(g) of the Exchange Act, and the Issuer has taken no action designed to, or which to its knowledge is likely to have the effect of, terminating the registration of the Common Stock under the Exchange Act nor has the Issuer received any notification that the Commission is contemplating terminating such registration. Except as set forth on </w:t>
      </w:r>
      <w:r>
        <w:rPr>
          <w:rFonts w:ascii="Times New Roman;Times;Serif" w:hAnsi="Times New Roman;Times;Serif"/>
          <w:b w:val="false"/>
          <w:i w:val="false"/>
          <w:caps w:val="false"/>
          <w:smallCaps w:val="false"/>
          <w:sz w:val="20"/>
          <w:u w:val="single"/>
        </w:rPr>
        <w:t>Schedule 3.22</w:t>
      </w:r>
      <w:r>
        <w:rPr>
          <w:rFonts w:ascii="Times New Roman;Times;Serif" w:hAnsi="Times New Roman;Times;Serif"/>
          <w:b w:val="false"/>
          <w:i w:val="false"/>
          <w:caps w:val="false"/>
          <w:smallCaps w:val="false"/>
          <w:sz w:val="20"/>
        </w:rPr>
        <w:t xml:space="preserve"> or in the SEC Reports, the Issuer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Issuer is current in payment of the fees to the Depository Trust Company (or such other established clearing corporation) in connection with such electronic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3.23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Assuming the accuracy of the Purchaser’s representations and warranties set forth in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neither the Issuer,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Issuer for purposes of (i) the Securities Act which would require the registration of any such securities under the Securities Act, or (ii) any applicable stockholder approval provisions of Nasdaq on which any of the securities of the Issuer are listed or designated.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3.24 </w:t>
      </w:r>
      <w:r>
        <w:rPr>
          <w:rFonts w:ascii="Times New Roman;Times;Serif" w:hAnsi="Times New Roman;Times;Serif"/>
          <w:b w:val="false"/>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Issuer acknowledges and agrees that the Purchaser is acting solely in the capacity of an arm’s length purchaser with respect to this Agreement and the transactions contemplated hereby. The Issuer further acknowledges that the Purchaser is not acting as a financial advisor or fiduciary of the Issuer (or in any similar capacity) with respect to this Agreement and the transactions contemplated hereby and any advice given by the Purchaser or any of its respective representatives or agents in connection with this Agreement and the transactions contemplated hereby is merely incidental to the Purchaser’s purchase of the Securities. The Issuer further represents to the Purchaser that the Issuer’s decision to enter into this Agreement has been based solely on the independent evaluation of the transactions contemplated hereby by the Issuer and its representatives.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3.25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Anything in this Agreement or elsewhere herein to the contrary notwithstanding, it is understood and acknowledged by the Issuer that: (i) the Purchaser has not been asked by the Issuer to agree, nor has the Purchaser agreed, to desist from purchasing or selling, long and/or short, securities of the Issuer, or “derivative” securities based on securities issued by the Issuer or to hold the Securities for any specified term, (ii) past or future open market or other transactions by the Purchaser, specifically including, without limitation, Short Sales or “derivative” transactions, before or after the closing of this or future private placement transactions, may negatively impact the market price of the Issuer’s publicly-traded securities, (iii) the Purchaser, and counter-parties in “derivative” transactions to which the Purchaser is a party, directly or indirectly, may presently have a “short” position in the Common Stock and (iv) the Purchaser shall not be deemed to have any affiliation with or control over any arm’s length counter-party in any “derivative” transaction by virtue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3.26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Issuer has not, and to its knowledge no one acting on its behalf has, (i) taken, directly or indirectly, any action designed to cause or to result in the stabilization or manipulation of the price of any security of the Issuer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3.27 </w:t>
      </w:r>
      <w:r>
        <w:rPr>
          <w:rFonts w:ascii="Times New Roman;Times;Serif" w:hAnsi="Times New Roman;Times;Serif"/>
          <w:b w:val="false"/>
          <w:i w:val="false"/>
          <w:caps w:val="false"/>
          <w:smallCaps w:val="false"/>
          <w:sz w:val="20"/>
          <w:u w:val="single"/>
        </w:rPr>
        <w:t>Compliance with PRC Oversea Investment and Listing Rules and Regulations</w:t>
      </w:r>
      <w:r>
        <w:rPr>
          <w:rFonts w:ascii="Times New Roman;Times;Serif" w:hAnsi="Times New Roman;Times;Serif"/>
          <w:b w:val="false"/>
          <w:i w:val="false"/>
          <w:caps w:val="false"/>
          <w:smallCaps w:val="false"/>
          <w:sz w:val="20"/>
        </w:rPr>
        <w:t xml:space="preserve">. Except as otherwise disclosed in </w:t>
      </w:r>
      <w:r>
        <w:rPr>
          <w:rFonts w:ascii="Times New Roman;Times;Serif" w:hAnsi="Times New Roman;Times;Serif"/>
          <w:b w:val="false"/>
          <w:i w:val="false"/>
          <w:caps w:val="false"/>
          <w:smallCaps w:val="false"/>
          <w:sz w:val="20"/>
          <w:u w:val="single"/>
        </w:rPr>
        <w:t>Schedule 3.27</w:t>
      </w:r>
      <w:r>
        <w:rPr>
          <w:rFonts w:ascii="Times New Roman;Times;Serif" w:hAnsi="Times New Roman;Times;Serif"/>
          <w:b w:val="false"/>
          <w:i w:val="false"/>
          <w:caps w:val="false"/>
          <w:smallCaps w:val="false"/>
          <w:sz w:val="20"/>
        </w:rPr>
        <w:t>, the Company and Subsidiaries have taken reasonable steps to cause the Company’s shareholders, directors and officers that is, or directly or indirectly controlled by, a PRC resident or citizen, to comply with any applicable rules and regulations of relevant PRC government agencies (including but not limited to the Ministry of Commerce, the National Development and Reform Commission, the China Securities Regulatory Commission (“</w:t>
      </w:r>
      <w:r>
        <w:rPr>
          <w:rFonts w:ascii="Times New Roman;Times;Serif" w:hAnsi="Times New Roman;Times;Serif"/>
          <w:b/>
          <w:i w:val="false"/>
          <w:caps w:val="false"/>
          <w:smallCaps w:val="false"/>
          <w:sz w:val="20"/>
        </w:rPr>
        <w:t>CSRC</w:t>
      </w:r>
      <w:r>
        <w:rPr>
          <w:rFonts w:ascii="Times New Roman;Times;Serif" w:hAnsi="Times New Roman;Times;Serif"/>
          <w:b w:val="false"/>
          <w:i w:val="false"/>
          <w:caps w:val="false"/>
          <w:smallCaps w:val="false"/>
          <w:sz w:val="20"/>
        </w:rPr>
        <w:t>”), and the State Administration of Foreign Exchange (“</w:t>
      </w:r>
      <w:r>
        <w:rPr>
          <w:rFonts w:ascii="Times New Roman;Times;Serif" w:hAnsi="Times New Roman;Times;Serif"/>
          <w:b/>
          <w:i w:val="false"/>
          <w:caps w:val="false"/>
          <w:smallCaps w:val="false"/>
          <w:sz w:val="20"/>
        </w:rPr>
        <w:t>SAFE</w:t>
      </w:r>
      <w:r>
        <w:rPr>
          <w:rFonts w:ascii="Times New Roman;Times;Serif" w:hAnsi="Times New Roman;Times;Serif"/>
          <w:b w:val="false"/>
          <w:i w:val="false"/>
          <w:caps w:val="false"/>
          <w:smallCaps w:val="false"/>
          <w:sz w:val="20"/>
        </w:rPr>
        <w:t>”) relating to such persons’ shareholding with the Company (collectively, the “</w:t>
      </w:r>
      <w:r>
        <w:rPr>
          <w:rFonts w:ascii="Times New Roman;Times;Serif" w:hAnsi="Times New Roman;Times;Serif"/>
          <w:b/>
          <w:i w:val="false"/>
          <w:caps w:val="false"/>
          <w:smallCaps w:val="false"/>
          <w:sz w:val="20"/>
        </w:rPr>
        <w:t>PRC Oversea Investment and Listing Rules and Regulations</w:t>
      </w:r>
      <w:r>
        <w:rPr>
          <w:rFonts w:ascii="Times New Roman;Times;Serif" w:hAnsi="Times New Roman;Times;Serif"/>
          <w:b w:val="false"/>
          <w:i w:val="false"/>
          <w:caps w:val="false"/>
          <w:smallCaps w:val="false"/>
          <w:sz w:val="20"/>
        </w:rPr>
        <w:t>”), including, without limitation, taking reasonable steps to require each such person that is, or is directly or indirectly owned or controlled by, a PRC resident or citizen to complete any registration, to timely report material changes, and other procedures required under any applicable PRC Oversea Investment and Listing Rules and Regulations.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AFFIRMATIVE COVENANTS</w:t>
      </w:r>
    </w:p>
    <w:p>
      <w:pPr>
        <w:pStyle w:val="TextBody"/>
        <w:bidi w:val="0"/>
        <w:spacing w:before="0" w:after="0"/>
        <w:ind w:left="4477" w:right="0" w:firstLine="1005"/>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as the Purchaser no longer holds any Securities, the Issuer agrees: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Securities and the Underlying Shares may only be disposed of in compliance with state and federal securities laws. In connection with any transfer of the Securities and the Underlying Shares other than pursuant to an effective registration statement or Rule 144 (defined below), to the Company or to an Affiliate of the Purchaser without payment of consideration therefor or in connection with a pledge as contemplated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or Underlying Shares under the Securities Act.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Purchaser agrees to the imprinting, so long as is required by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of a legend on any of the Securities and the Underlying Shares in substantially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HAVE NOT BEEN][NEITHER THE ISSUANCE AND SALE OF THE SECURITIES REPRESENTED BY THIS CERTIFICATE NOR THE SECURITIES INTO WHICH THESE SECURITIES ARE CONVERTIBLE HAVE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THE SECURITIES MAY BE PLEDGED IN CONNECTION WITH A BONA FIDE MARGIN ACCOUNT WITH A REGISTERED BROKER-DEALER OR OTHER LOAN WITH A FINANCIAL INSTITUTION THAT IS AN “ACCREDITED INVESTOR” AS DEFINED IN RULE 501(a) UNDER THE SECURITIES ACT OR OTHER LOAN SECURED BY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and agrees that the Purchaser may from time to time pledge pursuant to a bona fide margin agreement with a registered broker-dealer or grant a security interest in some or all of the Shares or shares of Series C Convertible Preferred Stock to a financial institution or, in connection with a bona fide pledge, other Person that is an “accredited investor” as defined in Rule 501(a) under the Securities Act and, if required under the terms of such arrangement, the Purchaser may transfer pledged or secured Shares or shares of Series C Convertible Preferred Stock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Purchaser’s expense, the Company will execute and deliver such reasonable documentation as a pledgee or secured party of Shares or shares of Series C Convertible Preferred Stock may reasonably request in connection with a pledge or transfer of the Shares or shares of Series C Convertible Preferred Stock, including, if the Shares or shares of Series C Convertible Preferred Stock are subject to registration pursuant to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xml:space="preserve"> of this Agreement, the preparation and filing of any required prospectus supplement under Rule 424(b)(3) under the Securities Act or other applicable provision of the Securities Act to appropriately amend the list of selling stockholders thereunder.</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remainder of this paragraph, legends (including the legend set forth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hereof) on certificates evidencing the Shares and the shares of Series C Convertible Preferred Stock may be removed: (i) following any sale of the Shares or the shares of Series C Convertible Preferred Stock pursuant to a registration statement (including the Registration Statement (defined below)) covering the resale of the Shares and the shares of Series C Convertible Preferred Stock that is effective and usable under the Securities Act, (ii) following any sale of the Shares pursuant to Rule 144, (iii) if requested by any holder who is not an affiliate of the Company under Rule 144, if the Shares or the shares of Series C Convertible Preferred Stock have been held for over a year (after giving effect to any “tacking” of the Purchaser’s holding period of the Shares that may be permissible under Rule 144, such as may be available in the case of cashless exercises) and are eligible for sale under Rule 144, or (iv) if such legend is not required under applicable requirements of the Securities Act (including judicial interpretations and pronouncements issued by the staff of the Commission). Upon the occurrence of any of the events set forth in clauses (i), (ii) or (iii) in the preceding sentence, the Company shall cause its counsel to issue a legal opinion and an instruction letter to the Transfer Agent or the Purchaser reasonably promptly after request by the Purchaser, if required by the Transfer Agent, to effect the removal of the legend hereunder, conditioned upon the prior completion and submission by the Purchaser or its broker, as applicable, of customary certificates or representation letters. The Company agrees that following such time as such legend is no longer required under this </w:t>
      </w:r>
      <w:r>
        <w:rPr>
          <w:rFonts w:ascii="Times New Roman;Times;Serif" w:hAnsi="Times New Roman;Times;Serif"/>
          <w:b w:val="false"/>
          <w:i w:val="false"/>
          <w:caps w:val="false"/>
          <w:smallCaps w:val="false"/>
          <w:sz w:val="20"/>
          <w:u w:val="single"/>
        </w:rPr>
        <w:t>Section 4.1(d)</w:t>
      </w:r>
      <w:r>
        <w:rPr>
          <w:rFonts w:ascii="Times New Roman;Times;Serif" w:hAnsi="Times New Roman;Times;Serif"/>
          <w:b w:val="false"/>
          <w:i w:val="false"/>
          <w:caps w:val="false"/>
          <w:smallCaps w:val="false"/>
          <w:sz w:val="20"/>
        </w:rPr>
        <w:t>, the Company will, no later than the later of (i) one (1) Trading Day and (ii) the number of Trading Days comprising the Standard Settlement Period (as defined below) following the delivery by the Purchaser to the Company or the Transfer Agent of a certificate representing the Shares, as the case may be, issued with a restrictive legend together with any customary certificate or representation letter from the Purchaser or the Purchaser’s broker, as applicable (such date when all such conditions are satisfied, the “</w:t>
      </w:r>
      <w:r>
        <w:rPr>
          <w:rFonts w:ascii="Times New Roman;Times;Serif" w:hAnsi="Times New Roman;Times;Serif"/>
          <w:b/>
          <w:i w:val="false"/>
          <w:caps w:val="false"/>
          <w:smallCaps w:val="false"/>
          <w:sz w:val="20"/>
        </w:rPr>
        <w:t>Legend Removal Date</w:t>
      </w:r>
      <w:r>
        <w:rPr>
          <w:rFonts w:ascii="Times New Roman;Times;Serif" w:hAnsi="Times New Roman;Times;Serif"/>
          <w:b w:val="false"/>
          <w:i w:val="false"/>
          <w:caps w:val="false"/>
          <w:smallCaps w:val="false"/>
          <w:sz w:val="20"/>
        </w:rPr>
        <w:t xml:space="preserve">”), deliver or cause to be delivered to the Transfer Agent an instruction letter with respect to the removal of legends, if required by the Transfer Agent. The Company may not make any notation on its records or give instructions to the Transfer Agent that enlarge the restrictions on transfer set forth in this Section </w:t>
      </w:r>
      <w:r>
        <w:rPr>
          <w:rFonts w:ascii="Times New Roman;Times;Serif" w:hAnsi="Times New Roman;Times;Serif"/>
          <w:b w:val="false"/>
          <w:i w:val="false"/>
          <w:caps w:val="false"/>
          <w:smallCaps w:val="false"/>
          <w:sz w:val="20"/>
          <w:u w:val="single"/>
        </w:rPr>
        <w:t>4.1</w:t>
      </w:r>
      <w:r>
        <w:rPr>
          <w:rFonts w:ascii="Times New Roman;Times;Serif" w:hAnsi="Times New Roman;Times;Serif"/>
          <w:b w:val="false"/>
          <w:i w:val="false"/>
          <w:caps w:val="false"/>
          <w:smallCaps w:val="false"/>
          <w:sz w:val="20"/>
        </w:rPr>
        <w:t>. Certificates for Shares subject to legend removal hereunder shall be transmitted by the Transfer Agent to the Purchaser by crediting the account of the Purchaser’s prime broker with the Depository Trust Company System as directed by the Purchaser. As used herein, “</w:t>
      </w:r>
      <w:r>
        <w:rPr>
          <w:rFonts w:ascii="Times New Roman;Times;Serif" w:hAnsi="Times New Roman;Times;Serif"/>
          <w:b/>
          <w:i w:val="false"/>
          <w:caps w:val="false"/>
          <w:smallCaps w:val="false"/>
          <w:sz w:val="20"/>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Nasdaq with respect to the Common Stock as in effect on the date of delivery of a certificate representing Shares or shares of Series C Convertible Preferred Stock issued with a restrictive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Purchaser agrees with the Company that the Purchaser will sell any Securities or Underlying Shares pursuant to either the registration requirements of the Securities Act, including any applicable prospectus delivery requirements, or an exemption therefrom, and that if the Securities or Underlying Shares are sold pursuant to a Registration Statement, they will be sold in compliance with the plan of distribution set forth therein, and acknowledges that the removal of the restrictive legend from certificates representing Securities or Underlying Shares as set forth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is predicated upon the Company’s reliance upon this understanding.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comply, and cause each Subsidiary to comply, with the requirements of all applicable Laws, except to the extent that failure to so comply could not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will use the proceeds from the issuance of Securities solely (a) to pay transaction fees and expenses incurred in connection with the consummation of the transactions contemplated by this Agreement and (b) for general working capital purposes and other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generality of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above, the Issuer does not intend to use nor shall it use any portion of the proceeds of the issuance of Securities, directly or, to the Issuer’s knowledge, indirectly, for any purpose in violation of the Trading with the Enemy Act or to purchase or carry, or to reduce or refinance any Debt incurred to purchase or carry, any margin stock (as defined in Regulation U of the Board of Governors of the Federal Reserve System) or for any related purpose governed by Regulations T, U or X of the Board of Governors of the Federal Reserve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Sanctions; Anti-Corruption Laws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maintain in effect policies and procedures designed to promote compliance by the Issuer and its Subsidiaries, and their respective directors, officers, employees, and agents with applicable Sanctions and with the FCPA and any other applicable anti-corruption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Reserved.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use commercially reasonable efforts to file a registration statement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and the date of such filing, the “</w:t>
      </w:r>
      <w:r>
        <w:rPr>
          <w:rFonts w:ascii="Times New Roman;Times;Serif" w:hAnsi="Times New Roman;Times;Serif"/>
          <w:b/>
          <w:i w:val="false"/>
          <w:caps w:val="false"/>
          <w:smallCaps w:val="false"/>
          <w:sz w:val="20"/>
        </w:rPr>
        <w:t>Filing Date</w:t>
      </w:r>
      <w:r>
        <w:rPr>
          <w:rFonts w:ascii="Times New Roman;Times;Serif" w:hAnsi="Times New Roman;Times;Serif"/>
          <w:b w:val="false"/>
          <w:i w:val="false"/>
          <w:caps w:val="false"/>
          <w:smallCaps w:val="false"/>
          <w:sz w:val="20"/>
        </w:rPr>
        <w:t>”) within sixty (60) days after the Closing Date, on the appropriate form providing for the resale by the Purchaser of the Shares (excluding, for the avoidance of doubt, the Warrant Shares). The Issuer shall use commercially reasonable efforts to cause such Registration Statement to become effective within forty-five (45) days following the Filing Date of the Registration Statement, and to keep such Registration Statement effective at all times until no Purchaser owns any Shares issued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after the date hereof but prior to the date the Registration Statement is declared effective, the Issuer enters into an agreement (each, an “</w:t>
      </w:r>
      <w:r>
        <w:rPr>
          <w:rFonts w:ascii="Times New Roman;Times;Serif" w:hAnsi="Times New Roman;Times;Serif"/>
          <w:b/>
          <w:i w:val="false"/>
          <w:caps w:val="false"/>
          <w:smallCaps w:val="false"/>
          <w:sz w:val="20"/>
        </w:rPr>
        <w:t>MFN Agreement</w:t>
      </w:r>
      <w:r>
        <w:rPr>
          <w:rFonts w:ascii="Times New Roman;Times;Serif" w:hAnsi="Times New Roman;Times;Serif"/>
          <w:b w:val="false"/>
          <w:i w:val="false"/>
          <w:caps w:val="false"/>
          <w:smallCaps w:val="false"/>
          <w:sz w:val="20"/>
        </w:rPr>
        <w:t>”), pursuant to which the signatory party thereto has the right to receive cash and/or securities of the Issuer in the event that a registration statement registering for resale by such signatory the securities of the Issuer issued to such signatory pursuant to such MFN Agreement is not timely filed, the Issuer and the Purchaser shall amend this Agreement such that the Purchaser shall have the right to receive cash and/or shares of Common Stock in the manner set forth in such MFN Agreement, in the event the Registration Statement is not filed on or prior to the Filing Date. Notwithstanding anything to the contrary herein, in no event shall the Issuer issue to the Purchaser any securities of the Issuer pursuant to this Section 4.6(b) which, when issued, would otherwise cause the Aggregate Share Issuance to exceed the Maximum Percentage.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Furnishing of Information; Public Information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covenants to use commercially reasonable efforts to maintain the registration of the Common Stock under Section 12(b) or 12(g) of the Exchange Act and to timely file (or obtain extensions in respect thereof and file within the applicable grace period) all reports required to be filed by the Issuer after the date hereof pursuant to the Exchange Act even if the Issuer is not then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Issuer shall, on or prior to 5:30 p.m., Eastern Time, before the fourth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following the date hereof, file a Current Report on Form 8-K, including this Agreement as the exhibit thereto, with the Commission. In addition, effective upon the filing of such Current Report on Form 8-K, the Issuer acknowledges and agrees that any and all confidentiality or similar obligations under any agreement, whether written or oral, between the Issuer, any of its Subsidiaries or any of their respective officers, directors, agents, employees, Affiliates or agents, on the one hand, and the Purchaser or any of its Affiliates on the other hand, shall terminate and be of no further force or effect. The Issuer understands and confirms that the Purchaser shall be relying on the foregoing covenant in effecting transactions in securities of the Issuer. The Issuer and the Purchaser shall consult with each other in issuing any press releases with respect to the transactions contemplated hereby, and neither the Issuer nor the Purchaser shall issue any such press release nor otherwise make any such public statement without the prior consent of the Issuer, with respect to any press release of the Purchaser, or without the prior consent of the Purchaser, with respect to any press release of the Issuer, which consent shall not unreasonably be withheld or delayed, except if such disclosure is required by law or requested by a governmental authority or self-regulatory organization, in which case the disclosing party shall promptly provide the other party with prior notice of such public statement or communication. Notwithstanding the foregoing, the Issuer shall not publicly disclose the name of the Purchaser, or include the name of any Purchaser in any filing with the Commission or any regulatory agency or Nasdaq, without the prior written consent of the Purchaser, except (a) as required by federal securities law in connection with (i) any registration statement under the Securities Act and (ii) the filing of this Agreement with the Commission and (b) to the extent such disclosure is required by law or Nasdaq rules and regulations or requested by a governmental authority or self-regulatory organization, in which case the Issuer shall provide the Purchaser with prior notice of such disclosure permitted under this clause (b) and reasonably cooperate with the Purchaser regarding such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4.9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Issuer or, with the consent of the Issuer, any other Person, that the Purchaser is an “Acquiring Person” under any control share acquisition, business combination, poison pill (including any distribution under a rights agreement) or similar anti-takeover plan or arrangement in effect or hereafter adopted by the Issuer, or that the Purchaser could be deemed to trigger the provisions of any such plan or arrangement, by virtue of receiving Securities under this Agreement or under any other agreement between the Issuer and the Purchaser.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Listing of Securities</w:t>
      </w:r>
      <w:r>
        <w:rPr>
          <w:rFonts w:ascii="Times New Roman;Times;Serif" w:hAnsi="Times New Roman;Times;Serif"/>
          <w:b w:val="false"/>
          <w:i w:val="false"/>
          <w:caps w:val="false"/>
          <w:smallCaps w:val="false"/>
          <w:sz w:val="20"/>
        </w:rPr>
        <w:t>. The Issuer shall, if applicable: (i) in the time and manner required by Nasdaq, prepare and file with Nasdaq an additional shares listing application covering the Shares, and (ii) use commercially reasonable efforts to take all steps necessary to cause the Shares to be approved for listing or quotation on Nasdaq as soon as possible thereafter. The Issuer agrees to use commercially reasonable efforts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xml:space="preserve">. The Purchaser covenants that neither it, nor any Affiliate acting on its behalf or pursuant to any understanding with it will execute any purchases or sales, including Short Sales, of any of the Issuer’s securities during the period commencing with the execution of this Agreement and ending at such time that the transactions contemplated by this Agreement are first publicly announced pursuant to the filing of the Current Report on Form 8-K as described in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The Purchaser covenants that until such time as the transactions contemplated by this Agreement are publicly disclosed by the Issuer pursuant to the filing of the Current Report on Form 8-K as described in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such Purchaser will maintain the confidentiality of the existence and terms of this transaction and the information included in the Disclosure Schedules (other than as disclosed to its legal and other representatives). Notwithstanding the foregoing, and subject to anything contained in this Agreement to the contrary including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the Issuer expressly acknowledges and agrees that (i) no Purchaser makes any representation, warranty or covenant hereby that it will not engage in effecting transactions in any securities of the Issuer after the time that the transactions contemplated by this Agreement are first publicly announced pursuant to the filing of the Current Report on Form 8-K as described in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(ii) no Purchaser shall be restricted or prohibited from effecting any transactions in any securities of the Issuer in accordance with applicable securities laws from and after the time that the transactions contemplated by this Agreement are first publicly announced pursuant to the filing of the Current Report on Form 8-K as described in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and (iii) no Purchaser shall have any duty of confidentiality or duty not to trade in the securities of the Issuer to the Issuer, any of its Subsidiaries, or any of their respective officers, directors, employees, Affiliates or agent, after the issuance of the filing of the Current Report on Form 8-K as described in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Blue Sky Filings</w:t>
      </w:r>
      <w:r>
        <w:rPr>
          <w:rFonts w:ascii="Times New Roman;Times;Serif" w:hAnsi="Times New Roman;Times;Serif"/>
          <w:b w:val="false"/>
          <w:i w:val="false"/>
          <w:caps w:val="false"/>
          <w:smallCaps w:val="false"/>
          <w:sz w:val="20"/>
        </w:rPr>
        <w:t>. The Issuer shall take such action as the Issuer shall reasonably determine is necessary in order to obtain an exemption for, or to qualify the Shares for, sale to the Purchaser at the Closing under applicable securities or “Blue Sky” laws of the states of the United States, and shall provide evidence of such actions promptly upon request of any Purchaser.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w:t>
      </w:r>
    </w:p>
    <w:p>
      <w:pPr>
        <w:pStyle w:val="TextBody"/>
        <w:bidi w:val="0"/>
        <w:spacing w:before="0" w:after="0"/>
        <w:ind w:left="5346" w:right="0" w:hanging="1"/>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Conditions to Closing</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 of the Purchaser under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to purchase the Shares and shares of Series C Convertible Preferred Stock hereunder shall be subject to the receipt by the Purchaser of each agreement, document and instrument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and to the satisfaction of the following conditions precedent, each in form and substance reasonably satisfactory to, and to the satisfaction of,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contained in this Agreement are true and correct in all material respects (without duplication of any materiality qualifier) as of the Closing Date, both before and after giving effect to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receipt of a customary legal opinion of Pryor Cashman LLP, as special counsel to the Issuer;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receipt of all customary resolutions or written consents of the Issuer’s board of directors approving and authorizing the transactions contemplated hereby.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whether the conditions specified in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have been satisfied, by funding amounts for the purchase of the Shares hereunder at the Closing, the Purchaser shall be deemed to have consented to, approved or accepted, or to be satisfied with, each document or other matter required hereunder to be consented to or approved by or acceptable or satisfactory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 AND INDEMNITY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set forth in this Agreement to the contrary, each party shall pay the fees and expenses of its advisers, counsel, accountants and other experts, if any, and all other expenses incurred by such party incident to the negotiation, preparation, execution, delivery and performance of this Agreement. Notwithstanding the foregoing, the Company shall reimburse the Purchaser for up to $100,000 of bona fide, reasonable and documented, out-of-pocket costs and expenses incurred by it in connection with the structuring, documentation, negotiation and closing of the transactions contemplated by this Agreement, which amount has been reimbursed to the Purchaser by the Company prior to the date hereof. The Company shall pay all Transfer Agent fees. The Company shall pay any issuance, stamp or documentary taxes (other than transfer taxes) or charges imposed by any governmental body, agency or official (other than income taxes) by reason of the issuance of the Shares to the Purchaser.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indemnify and hold the Purchaser and its directors, officers, stockholders, members, partners, employees and agents (and any other Persons with a functionally equivalent role of a Person holding such titles notwithstanding a lack of such title or any other title), each Person who controls the Purchaser (within the meaning of Section 15 of the Securities Act and Section 20 of the Exchange Act), and the directors, officers, stockholders,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i w:val="false"/>
          <w:caps w:val="false"/>
          <w:smallCaps w:val="false"/>
          <w:sz w:val="20"/>
        </w:rPr>
        <w:t>Purchaser Party</w:t>
      </w:r>
      <w:r>
        <w:rPr>
          <w:rFonts w:ascii="Times New Roman;Times;Serif" w:hAnsi="Times New Roman;Times;Serif"/>
          <w:b w:val="false"/>
          <w:i w:val="false"/>
          <w:caps w:val="false"/>
          <w:smallCaps w:val="false"/>
          <w:sz w:val="20"/>
        </w:rPr>
        <w:t xml:space="preserve">”) harmless from any and all losses, liabilities, obligations, claims, contingencies, damages, costs and expenses, including all judgments, amounts paid in settlements, court costs and reasonable and documented attorneys’ fees and costs of investigation that any such Purchaser Party may suffer or incur caused by or based upon (a) any material breach of any of the representations or warranties made by the Company in this Agreement or (b) any action instituted against a Purchaser Party in any capacity, or any of them or their respective Affiliates, by any stockholder of the Company who is not an Affiliate of such Purchaser Party, with respect to the transactions contemplated hereby (except to the extent such action is solely based upon a material breach of such Purchaser Party’s representations, warranties or covenants under this Agreement or any agreements or understandings such Purchaser Party may have with any such stockholder or any violations by such Purchaser Party of state or federal securities laws or any conduct by such Purchaser Party that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to the applicable Purchaser Party, a material conflict on any material issue between the position of the Company and the position of such Purchaser Party, in which case the Company shall be responsible for the reasonable and documented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shall be made by periodic payments of the amount thereof during the course of the investigation or defense, as and when bills are received or are incurred; provided, that if any Purchaser Party is finally judicially determined not to be entitled to indemnification or payment under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such Purchaser Party shall promptly reimburse the Company for any payments that are advanced under this sentence.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4462"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contained herein shall survive the Closing and the delivery of the Securities for a period of three (3) years from the Closing.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No Waivers; Remedies Cumulative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or delay by the Purchaser in exercising any right, power or privilege under this Agreement shall operate as a waiver thereof nor shall any single or partial exercise thereof preclude any other or further exercise thereof or the exercise of any other right, power or privilege. The rights and remedies herein and therein provided shall be cumulative and not exclusive of any rights or remedies provided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notices, requests and other communications to any party hereunder shall be in writing (including prepaid overnight courier, facsimile transmission, e-mail, electronic submissions or similar writing, but in no event by text message) and shall be given to such party at its address, facsimile number or e-mail address set forth on the signature pages hereof (or, in the case of a party who becomes the Purchaser after the date hereof, in an Assignment Agreement or in a notice delivered to the Issuer by the assignee Purchaser forthwith upon such assignment) or by electronic submissions, as provided below, or at such other address, facsimile number or e-mail address as such party may hereafter specify for the purpose by notice to the Issuer;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notices, requests or other communications shall be permitted by e-mail or other electronic submissions (but in no event by text message) only in accordance with the provisions of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Each such notice, request or other communication shall be effective (i) if given by facsimile, when such notice is transmitted to the facsimile number specified by this Section and the sender receives a confirmation of transmission from the sending facsimile machine, (ii) if given by e-mail or other electronic submissions, as set forth in </w:t>
      </w:r>
      <w:r>
        <w:rPr>
          <w:rFonts w:ascii="Times New Roman;Times;Serif" w:hAnsi="Times New Roman;Times;Serif"/>
          <w:b w:val="false"/>
          <w:i w:val="false"/>
          <w:caps w:val="false"/>
          <w:smallCaps w:val="false"/>
          <w:sz w:val="20"/>
          <w:u w:val="single"/>
        </w:rPr>
        <w:t>Section 7.3(c)</w:t>
      </w:r>
      <w:r>
        <w:rPr>
          <w:rFonts w:ascii="Times New Roman;Times;Serif" w:hAnsi="Times New Roman;Times;Serif"/>
          <w:b w:val="false"/>
          <w:i w:val="false"/>
          <w:caps w:val="false"/>
          <w:smallCaps w:val="false"/>
          <w:sz w:val="20"/>
        </w:rPr>
        <w:t xml:space="preserve"> or (iii) if given by mail, prepaid overnight courier or any other means, when received at the applicable address specified by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to the parties hereto may be delivered or furnished by electronic communication (including e-mail and Internet or intranet websites, but in no event by text message);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shall not apply to notices sent directly to any party hereto if such party has notified the other parties in writing that it has elected not to receive notices by electronic communication (which election may be limited to particular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any such notice or other communication is not sent or posted during normal business hours, such notice or communication shall be deemed to have been sent at the opening of business on the next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of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Agreement may be amended, waived or otherwise modified unless such amendment, waiver or other modification is in writing and is signed or otherwise approved by the Issuer and the Purchaser. Any waiver of any provision of this Agreement shall be effective only in the specific instance and for the specific purpose for which it is given. No delay on the part of the Purchaser in the exercise of any right, power or remedy shall operate as a waiver thereof, nor shall any single or partial exercise by the Purchaser of any right, power or remedy preclude other or further exercise thereof, or the exercise of any other right, power or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and captions used in this Agreement (including the Exhibits, Schedules and Annexes hereto) are included for convenience of reference only and shall not be given any substantive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Waiver of Consequential and Other Damages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applicable Law, the Issuer shall not assert, and the Issuer hereby waives, any claim against any Purchaser Party, on any theory of liability, for special, indirect, consequential or punitive damages (as opposed to direct or actual damages) arising out of, in connection with, or as a result of this Agreement, or any agreement or instrument contemplated hereby or thereby, the transactions contemplated hereby or thereby, or the use of the proceeds thereof. No Purchaser Party shall be liable for any damages arising from the use by unintended recipients of any information or other materials distributed by it through telecommunications, electronic or other information transmission systems in connection with this Agreement or the transactions contemplated hereby or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GOVERNING LAW; SUBMISSION TO JURISDICTION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AGREEMENT, AND ALL MATTERS RELATING HERETO OR THERETO OR ARISING THEREFROM (WHETHER SOUNDING IN CONTRACT LAW, TORT LAW OR OTHERWISE), SHALL BE GOVERNED BY, AND SHALL BE CONSTRUED AND ENFORCED IN ACCORDANCE WITH, THE LAWS OF THE STATE OF NEW YORK, WITHOUT REGARD TO CONFLICTS OF LAWS PRINCIPLES. EACH PARTY HERETO HEREBY CONSENTS TO THE JURISDICTION OF ANY STATE OR FEDERAL COURT LOCATED WITHIN NEW YORK CITY, STATE OF NEW YORK AND IRREVOCABLY AGREES THAT, ALL ACTIONS OR PROCEEDINGS ARISING OUT OF OR RELATING TO THIS AGREEMENT SHALL BE LITIGATED IN SUCH COURTS. EACH PARTY HERETO EXPRESSLY SUBMITS AND CONSENTS TO THE JURISDICTION OF THE AFORESAID COURTS AND WAIVES ANY DEFENSE OF FORUM NON CONVENIENS. EACH PARTY HERETO HEREBY WAIVES PERSONAL SERVICE OF ANY AND ALL PROCESS AND AGREES THAT ALL SUCH SERVICE OF PROCESS MAY BE MADE UPON SUCH PARTY BY CERTIFIED OR REGISTERED MAIL, ADDRESSED TO SUCH PARTY AT THE ADDRESS SET FORTH IN OR IN ACCORDANCE WITH THIS AGREEMENT AND SERVICE SO MADE SHALL BE COMPLETE TEN (10) DAYS AFTER THE SAME HAS BEEN POSTED.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AND THE PURCHASER HEREBY IRREVOCABLY WAIVES ANY AND ALL RIGHT TO TRIAL BY JURY IN ANY LEGAL ACTION OR PROCEEDING ARISING OUT OF OR RELATING TO THIS AGREEMENT OR THE TRANSACTIONS CONTEMPLATED HEREBY AND AGREES THAT ANY SUCH ACTION OR PROCEEDING SHALL BE TRIED BEFORE A COURT AND NOT BEFORE A JURY. THE ISSUER AND THE PURCHASER ACKNOWLEDGES THAT THIS WAIVER IS A MATERIAL INDUCEMENT TO ENTER INTO A BUSINESS RELATIONSHIP, THAT IT HAS RELIED ON THE WAIVER IN ENTERING INTO THIS AGREEMENT, AND THAT IT WILL CONTINUE TO RELY ON THIS WAIVER IN ITS RELATED FUTURE DEALINGS. THE ISSUER AND THE PURCHASER WARRANTS AND REPRESENTS THAT IT HAS HAD THE OPPORTUNITY OF REVIEWING THIS JURY WAIVER WITH LEGAL COUNSEL, AND THAT EACH KNOWINGLY AND VOLUNTARILY WAIVES ITS JURY TRIAL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Counterparts; Signatures; Integration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signed in any number of counterparts, each of which shall be an original, with the same effect as if the signatures thereto and hereto were upon the same instrument. Signatures by facsimile or other electronic communication shall bind the parties to the same extent as would a manually executed counterpart. This Agreement constitute the entire agreement and understanding among the parties hereto and supersede any and all prior agreements and understandings, oral or written, relating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USA PATRIOT Act Notification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hereby notifies the Issuer that pursuant to the requirements of the USA PATRIOT Act, it is required to obtain, verify and record certain information and documentation that identifies the Issuer, which information includes the name and address of the Issuer and such other information that will allow the Purchaser, as applicable, to identify the Issuer in accordance with the USA PATRIOT Act.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THE PURCHASER</w:t>
      </w:r>
    </w:p>
    <w:p>
      <w:pPr>
        <w:pStyle w:val="TextBody"/>
        <w:bidi w:val="0"/>
        <w:spacing w:before="0" w:after="0"/>
        <w:ind w:left="1889"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hereby represents and warrants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Authorization; No Contravention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the Purchaser of this Agreement: (a) is within its power and authority and has been duly authorized by all necessary action; (b) does not contravene the terms of its Organizational Documents or any amendment thereof; and (c) will not violate, conflict with or result in any breach or contravention of any of its contractual obligations, or any order or decree directly relating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has been duly executed and delivered by the Purchaser and constitutes its legal, valid and binding obligation, enforceable against it in accordance with its terms, except as enforceability may be limited by applicable bankruptcy, insolvency, or similar laws affecting the enforcement of creditors’ rights generally or by equitable principles relating to enforceability.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val="false"/>
          <w:i w:val="false"/>
          <w:caps w:val="false"/>
          <w:smallCaps w:val="false"/>
          <w:sz w:val="20"/>
          <w:u w:val="single"/>
        </w:rPr>
        <w:t>No Legal Bar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of this Agreement by the Purchaser will not violate any requirement of Law applicable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val="false"/>
          <w:i w:val="false"/>
          <w:caps w:val="false"/>
          <w:smallCaps w:val="false"/>
          <w:sz w:val="20"/>
          <w:u w:val="single"/>
        </w:rPr>
        <w:t>Securities Laws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Securities are being or will be acquired by the Purchaser hereunder for the purpose of investment for its own account, not as a nominee or agent, and not with the view to, or for resale in connection with, any distribution thereof in any transaction which would be in violation of the Securities Act or state securities laws or which would require the issuance and sale of the Securities hereunder to be registered under the Securities Act, subject, however, to the disposition of the Purchaser’s property being at all times within its control. The Purchaser has no present intention of selling, granting any participation in, or otherwise distributing the Securities and Underlying Shares in violation of the Securities Act. The Purchaser does not have any agreement or understanding, whether or not legally binding, direct or indirect, with any other Person to sell or otherwise distribute the securities to be issued to it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Purchaser is an “accredited investor” as (as defined in Rule 144A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or (2) an institutional “accredited investor” (as described in Rule 501(a)(1), (2), (3) or (7) of Regulation D promulgated under the Securities Act) with such knowledge and experience in financial and business matters as are necessary in order to evaluate the merits and risks of an investment in the Shares, and understands that the offer and sale of the Shares meets the exemptions from filing under FINRA Rule 5123(b)(1)(C) or (J); and (i) the Purchaser (1) is an institutional account as defined in FINRA Rule 4512(c), (2) is a sophisticated investor, experienced in investing in private equity transactions and capable of evaluating investment risks independently, both in general and with regard to all transactions and investment strategies involving a security or securities and (3) has exercised independent judgment in evaluating its participation in the purchase of the Shares, and accordingly, understands that the issuance of the Shares meets (x) the exemptions from filing under FINRA Rule 5123(b)(1)(A) and (y) the institutional customer exemption under FINRA Rule 2111(b).</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Purchaser understands that (i) the Shares constitute “restricted securities” under the Securities Act, (ii) it must bear the economic risk of its investment in the Securities for an indefinite period of time because the Securities and Underlying Shares are not registered under the Securities Act or any applicable state securities law and may not be resold unless subsequently registered under the Securities Act and such other laws or unless an exemption from registration is available (iii) the offer and sale of the Securities or Underlying Shares hereunder is not registered under the Securities Act or under any “blue sky” laws in reliance upon certain exemptions from such registration and that the Issuer is relying on the representations made herein by the Purchaser in its determination of whether such specific exemptions are available, and (iv) the Securities and Underlying Shares may not be transferred except pursuant to an effective registration statement under the Securities Act, or under an exception from such registration available under the Securities Act, and under applicable “blue sky” laws or in a transaction exempt from such registration. Furthermore, the Purchaser understands that the Issuer may not be eligible to conduct an offering pursuant to Regulation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Purchaser and its advisors (i) have been furnished with or have had access to all material books and records of the Issuer and all of its material contracts, agreements and documents and (ii) have had an opportunity to ask questions of, and receive answers, and to obtain any additional information to verify the accuracy of any information previously furnished, from management and representatives of the Issuer and which representatives have made available to them such information regarding the Issuer and their current respective businesses, operations, assets, finances, financial results, financial condition and prospects in order to make a fully informed decision to purchase and acquire the Shares. Without limiting the generality of the foregoing, the Purchaser has not relied on any statements or other information provided by anyone other than the Company concerning the Company, the Securities or the offer and sale of the Securities. The Purchaser acknowledges that it has made its own assessment and is satisfied concerning the relevant tax and other economic considerations relevant to the Purchaser’s acquisition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Purchaser has generally such knowledge and experience in business and financial matters, and with respect to investments in securities of privately held companies, as to enable it to understand and evaluate the risks of an investment in the Securities and form an investment decision with respect thereto. The foregoing, however, does not limit or modify the representations and warranties set forth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of this Agreement or the right of the Purchaser to rely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Purchaser understands that the exemption from registration of resales of the Securities and the Underlying Shares afforded by Rule 144 (the provisions of which are known to the Purchaser) promulgated pursuant to the Securities Act depends on the satisfaction of various conditions, including the requirement that the Issuer has been subject to the reporting requirements of Section 13 or Section 15 of the Securities Act for at least ninety (90) days and that, if applicable, Rule 144 affords the basis for such sales only in limited amounts and that the Issuer does not now qualify under Rule 144 and may not ever. The Purchaser understands that nothing in this Agreement shall require the Issuer or any of its Subsidiaries to make any filing under the Securities Act or Exchange Act which the Issuer or its Subsidiaries are not otherwise obligated to make.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8.5 </w:t>
      </w:r>
      <w:r>
        <w:rPr>
          <w:rFonts w:ascii="Times New Roman;Times;Serif" w:hAnsi="Times New Roman;Times;Serif"/>
          <w:b w:val="false"/>
          <w:i w:val="false"/>
          <w:caps w:val="false"/>
          <w:smallCaps w:val="false"/>
          <w:sz w:val="20"/>
          <w:u w:val="single"/>
        </w:rPr>
        <w:t>Governmental Authorization; Third Party Consent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approval, consent, compliance, exemption or authorization of any Governmental Authority or any other Person in respect of any requirement of Law, and no lapse of a waiting period under a requirement of Law, is necessary or required in connection with the execution, delivery or performance by it or enforcement against the Purchaser of this Agreement or the transactions contemplated hereby. No consent is required to be obtained under any contractual obligation applicable to the Purchaser in connection with the execution, delivery or performance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8.6 </w:t>
      </w:r>
      <w:r>
        <w:rPr>
          <w:rFonts w:ascii="Times New Roman;Times;Serif" w:hAnsi="Times New Roman;Times;Serif"/>
          <w:b w:val="false"/>
          <w:i w:val="false"/>
          <w:caps w:val="false"/>
          <w:smallCaps w:val="false"/>
          <w:sz w:val="20"/>
          <w:u w:val="single"/>
        </w:rPr>
        <w:t>No Related Party Relationships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w:t>
      </w:r>
      <w:r>
        <w:rPr>
          <w:rFonts w:ascii="Times New Roman;Times;Serif" w:hAnsi="Times New Roman;Times;Serif"/>
          <w:b w:val="false"/>
          <w:i w:val="false"/>
          <w:caps w:val="false"/>
          <w:smallCaps w:val="false"/>
          <w:sz w:val="20"/>
          <w:u w:val="single"/>
        </w:rPr>
        <w:t>Schedule 8.6</w:t>
      </w:r>
      <w:r>
        <w:rPr>
          <w:rFonts w:ascii="Times New Roman;Times;Serif" w:hAnsi="Times New Roman;Times;Serif"/>
          <w:b w:val="false"/>
          <w:i w:val="false"/>
          <w:caps w:val="false"/>
          <w:smallCaps w:val="false"/>
          <w:sz w:val="20"/>
        </w:rPr>
        <w:t>, the transactions contemplated by or related to this Agreement will not directly or indirectly increase any Related Person’s ownership or voting power of the Issuer, and no Related Person will, directly or indirectly, participate in any of the post-closing operations or decisions of or have any other rights or obligations with respect to such Purchaser or any of its direct or indirect equityholders or any of their respective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8.7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duly organized, validly existing and in good standing under the laws of its state of organization, and except as has not had or would not reasonably be expected to have a material adverse effect on the Purchaser’s ability to perform its obligations under the Agreement or to consummate the transactions contemplated hereby on a timely basis. The Purchaser is duly qualified to do business and is in good standing in all jurisdictions where its ownership or leasing of property or the conduct of its business requires it to be so qualified.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8.8 </w:t>
      </w:r>
      <w:r>
        <w:rPr>
          <w:rFonts w:ascii="Times New Roman;Times;Serif" w:hAnsi="Times New Roman;Times;Serif"/>
          <w:b w:val="false"/>
          <w:i w:val="false"/>
          <w:caps w:val="false"/>
          <w:smallCaps w:val="false"/>
          <w:sz w:val="20"/>
          <w:u w:val="single"/>
        </w:rPr>
        <w:t>Independent Investment Decision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has independently evaluated the merits of its decision to purchase the Shares pursuant to this Agreement and conducted and relied upon its own due diligence investigation of the Company and its own in-depth analysis of the merits and risks of the purchase of the Shares. The Purchaser understands that nothing in this Agreement or any other materials presented by or on behalf of the Issuer to the Purchaser in connection with the purchase of the Shares constitutes legal, tax or investment advice. The Purchaser is a sophisticated institutional accredited investor with extensive expertise and experience in financial and business matters and in evaluating private companies and purchasing and selling their securities and has such knowledge and experience in financial and business matters as to be capable of evaluating the merits and risks of an investment in the Shares, and has consulted such legal, tax and investment advisors as it, in its sole discretion, has deemed necessary or appropriate in connection with its purchase of the Shares.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8.9 </w:t>
      </w:r>
      <w:r>
        <w:rPr>
          <w:rFonts w:ascii="Times New Roman;Times;Serif" w:hAnsi="Times New Roman;Times;Serif"/>
          <w:b w:val="false"/>
          <w:i w:val="false"/>
          <w:caps w:val="false"/>
          <w:smallCaps w:val="false"/>
          <w:sz w:val="20"/>
          <w:u w:val="single"/>
        </w:rPr>
        <w:t>No Governmental Review</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understands that no U.S. federal or state agency or any other government or governmental agency has passed on or made any recommendation or endorsement of the Shares or the fairness or suitability of the investment in the Securities nor have such authorities passed upon or endorsed the merits of the offering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8.10 </w:t>
      </w:r>
      <w:r>
        <w:rPr>
          <w:rFonts w:ascii="Times New Roman;Times;Serif" w:hAnsi="Times New Roman;Times;Serif"/>
          <w:b w:val="false"/>
          <w:i w:val="false"/>
          <w:caps w:val="false"/>
          <w:smallCaps w:val="false"/>
          <w:sz w:val="20"/>
          <w:u w:val="single"/>
        </w:rPr>
        <w:t>Residency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Purchaser’s office in which its investment decision with respect to the Securities was made is located at the address set forth for the Purchaser set forth on the Purchaser’s signature page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8.11 </w:t>
      </w:r>
      <w:r>
        <w:rPr>
          <w:rFonts w:ascii="Times New Roman;Times;Serif" w:hAnsi="Times New Roman;Times;Serif"/>
          <w:b w:val="false"/>
          <w:i w:val="false"/>
          <w:caps w:val="false"/>
          <w:smallCaps w:val="false"/>
          <w:sz w:val="20"/>
          <w:u w:val="single"/>
        </w:rPr>
        <w:t>Ownership</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and its Affiliates are not the direct or indirect owner of record or beneficial owner of shares of Common Stock, securities convertible into or exchangeable for Common Stock, or any other equity or equity-linked security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8.12 </w:t>
      </w:r>
      <w:r>
        <w:rPr>
          <w:rFonts w:ascii="Times New Roman;Times;Serif" w:hAnsi="Times New Roman;Times;Serif"/>
          <w:b w:val="false"/>
          <w:i w:val="false"/>
          <w:caps w:val="false"/>
          <w:smallCaps w:val="false"/>
          <w:sz w:val="20"/>
          <w:u w:val="single"/>
        </w:rPr>
        <w:t>No Brokers.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has, as a result of the transactions contemplated by this Agreement, any valid right, interest or claim against or upon the Issuer or the Purchaser for any commission, fee or other compensation pursuant to any agreement, arrangement or understanding entered into by or on behalf of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8.13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not relying upon, and has not relied upon, any statement, representation or warranty made by any Person, except for the representations and warranties by the Issuer contained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8.14 </w:t>
      </w:r>
      <w:r>
        <w:rPr>
          <w:rFonts w:ascii="Times New Roman;Times;Serif" w:hAnsi="Times New Roman;Times;Serif"/>
          <w:b w:val="false"/>
          <w:i w:val="false"/>
          <w:caps w:val="false"/>
          <w:smallCaps w:val="false"/>
          <w:sz w:val="20"/>
          <w:u w:val="single"/>
        </w:rPr>
        <w:t>Financial Capacity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has, and as of the Closing Date will have, sufficient cash on hand in a U.S. or foreign bank account or uncalled capital commitments from creditworthy parties without any condition to fund the Subscription Amount on the terms and conditions set forth in this Agreement. Such cash has been obtained by the Purchaser in compliance with all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8.15 </w:t>
      </w:r>
      <w:r>
        <w:rPr>
          <w:rFonts w:ascii="Times New Roman;Times;Serif" w:hAnsi="Times New Roman;Times;Serif"/>
          <w:b w:val="false"/>
          <w:i w:val="false"/>
          <w:caps w:val="false"/>
          <w:smallCaps w:val="false"/>
          <w:sz w:val="20"/>
          <w:u w:val="single"/>
        </w:rPr>
        <w:t>Non-Recourse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Purchaser’s contractual obligations hereunder shall be without recourse to its Affiliates, and the officers, directors, employees, managers, trustees and other agents of the Purchaser or its Affiliates. The Issuer’s contractual obligations hereunder shall be without recourse to its Affiliates, and the officers, directors, employees, managers, trustees and other agents of the Issuer 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8.16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The Purchaser understands that: (i) the Securities and the Underlying Shares have not been and are not being registered under the Securities Act or any state securities laws, and may not be offered for sale, sold, assigned or transferred unless (A) subsequently registered thereunder, (B) the Purchaser shall have delivered to the Company (if requested by the Company) an opinion of counsel, in a form reasonably acceptable to the Company, to the effect that such Securities or Underlying Shares to be sold, assigned or transferred may be sold, assigned or transferred pursuant to an exemption from such registration, or (C) the Purchaser provides the Company with reasonable assurance that such Securities or Underlying Shares, as applicable, can be sold, assigned or transferred pursuant to Rule 144 or Rule 144A promulgated under the Securities Act (or a successor rule thereto) (collectively, “</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xml:space="preserve">”); (ii) any sale of the Securities or Underlying Shares made in reliance on Rule 144 may be made only in accordance with the terms of Rule 144, and further, if Rule 144 is not applicable, any resale of the Securities or Underlying Shares, as applicable,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promulgated thereunder; and (iii) neither the Company nor any other Person is under any obligation to register the Securities or Underlying Shares under the Securities Act or any state securities laws or to comply with the terms and conditions of any exemption thereunder. Notwithstanding the foregoing, the Securities and Underlying Shares may be pledged in connection with a bona fide margin account or other loan or financing arrangement secured by the Securities or Underlying Shares and such pledge of Securities or Underlying Shares shall not be deemed to be a transfer, sale or assignment of the Securities or Underlying Shares hereunder, and no Purchaser effecting a pledge of the Securities or Underlying Shares shall be required to provide the Company with any notice thereof or otherwise make any delivery to the Company pursuant to this Agreement, including, without limitation, this </w:t>
      </w:r>
      <w:r>
        <w:rPr>
          <w:rFonts w:ascii="Times New Roman;Times;Serif" w:hAnsi="Times New Roman;Times;Serif"/>
          <w:b w:val="false"/>
          <w:i w:val="false"/>
          <w:caps w:val="false"/>
          <w:smallCaps w:val="false"/>
          <w:sz w:val="20"/>
          <w:u w:val="single"/>
        </w:rPr>
        <w:t>Section 8.16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Pages Follow.]</w:t>
      </w:r>
    </w:p>
    <w:p>
      <w:pPr>
        <w:pStyle w:val="TextBody"/>
        <w:bidi w:val="0"/>
        <w:spacing w:before="0" w:after="0"/>
        <w:ind w:left="1889"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694" w:type="dxa"/>
        <w:jc w:val="left"/>
        <w:tblInd w:w="0" w:type="dxa"/>
        <w:tblLayout w:type="fixed"/>
        <w:tblCellMar>
          <w:top w:w="0" w:type="dxa"/>
          <w:left w:w="0" w:type="dxa"/>
          <w:bottom w:w="0" w:type="dxa"/>
          <w:right w:w="0" w:type="dxa"/>
        </w:tblCellMar>
      </w:tblPr>
      <w:tblGrid>
        <w:gridCol w:w="2465"/>
        <w:gridCol w:w="912"/>
        <w:gridCol w:w="2317"/>
      </w:tblGrid>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tc>
        <w:tc>
          <w:tcPr>
            <w:tcW w:w="32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ISSUER</w:t>
            </w:r>
          </w:p>
        </w:tc>
      </w:tr>
      <w:tr>
        <w:trPr/>
        <w:tc>
          <w:tcPr>
            <w:tcW w:w="2465" w:type="dxa"/>
            <w:tcBorders/>
            <w:vAlign w:val="center"/>
          </w:tcPr>
          <w:p>
            <w:pPr>
              <w:pStyle w:val="TableContents"/>
              <w:bidi w:val="0"/>
              <w:spacing w:before="0" w:after="283"/>
              <w:jc w:val="left"/>
              <w:rPr>
                <w:caps w:val="false"/>
                <w:smallCaps w:val="false"/>
              </w:rPr>
            </w:pPr>
            <w:r>
              <w:rPr>
                <w:caps w:val="false"/>
                <w:smallCaps w:val="false"/>
              </w:rPr>
              <w:t> </w:t>
            </w:r>
          </w:p>
        </w:tc>
        <w:tc>
          <w:tcPr>
            <w:tcW w:w="32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vAlign w:val="center"/>
          </w:tcPr>
          <w:p>
            <w:pPr>
              <w:pStyle w:val="TableContents"/>
              <w:bidi w:val="0"/>
              <w:spacing w:before="0" w:after="283"/>
              <w:jc w:val="left"/>
              <w:rPr>
                <w:caps w:val="false"/>
                <w:smallCaps w:val="false"/>
              </w:rPr>
            </w:pPr>
            <w:r>
              <w:rPr>
                <w:caps w:val="false"/>
                <w:smallCaps w:val="false"/>
              </w:rPr>
              <w:t> </w:t>
            </w:r>
          </w:p>
        </w:tc>
        <w:tc>
          <w:tcPr>
            <w:tcW w:w="32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FARADAY FUTURE INTELLIGENT</w:t>
            </w:r>
          </w:p>
        </w:tc>
      </w:tr>
      <w:tr>
        <w:trPr/>
        <w:tc>
          <w:tcPr>
            <w:tcW w:w="2465" w:type="dxa"/>
            <w:tcBorders/>
            <w:vAlign w:val="center"/>
          </w:tcPr>
          <w:p>
            <w:pPr>
              <w:pStyle w:val="TableContents"/>
              <w:bidi w:val="0"/>
              <w:spacing w:before="0" w:after="283"/>
              <w:jc w:val="left"/>
              <w:rPr>
                <w:caps w:val="false"/>
                <w:smallCaps w:val="false"/>
              </w:rPr>
            </w:pPr>
            <w:r>
              <w:rPr>
                <w:caps w:val="false"/>
                <w:smallCaps w:val="false"/>
              </w:rPr>
              <w:t> </w:t>
            </w:r>
          </w:p>
        </w:tc>
        <w:tc>
          <w:tcPr>
            <w:tcW w:w="32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ELECTRIC INC.</w:t>
            </w:r>
          </w:p>
        </w:tc>
      </w:tr>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 E. Grand Avenue</w:t>
            </w:r>
          </w:p>
        </w:tc>
        <w:tc>
          <w:tcPr>
            <w:tcW w:w="912" w:type="dxa"/>
            <w:tcBorders/>
            <w:vAlign w:val="center"/>
          </w:tcPr>
          <w:p>
            <w:pPr>
              <w:pStyle w:val="TableContents"/>
              <w:bidi w:val="0"/>
              <w:spacing w:before="0" w:after="283"/>
              <w:jc w:val="left"/>
              <w:rPr>
                <w:caps w:val="false"/>
                <w:smallCaps w:val="false"/>
              </w:rPr>
            </w:pPr>
            <w:r>
              <w:rPr>
                <w:caps w:val="false"/>
                <w:smallCaps w:val="false"/>
              </w:rPr>
              <w:t> </w:t>
            </w:r>
          </w:p>
        </w:tc>
        <w:tc>
          <w:tcPr>
            <w:tcW w:w="23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 Segundo, California 90245</w:t>
            </w:r>
          </w:p>
        </w:tc>
        <w:tc>
          <w:tcPr>
            <w:tcW w:w="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Jiawei Wang</w:t>
            </w:r>
          </w:p>
        </w:tc>
      </w:tr>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Legal Department</w:t>
            </w:r>
          </w:p>
        </w:tc>
        <w:tc>
          <w:tcPr>
            <w:tcW w:w="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Jiawei Wang</w:t>
            </w:r>
          </w:p>
        </w:tc>
      </w:tr>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legal@ff.com</w:t>
            </w:r>
          </w:p>
        </w:tc>
        <w:tc>
          <w:tcPr>
            <w:tcW w:w="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President</w:t>
            </w:r>
          </w:p>
        </w:tc>
      </w:tr>
    </w:tbl>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0" w:type="dxa"/>
          <w:right w:w="0" w:type="dxa"/>
        </w:tblCellMar>
      </w:tblPr>
      <w:tblGrid>
        <w:gridCol w:w="4070"/>
        <w:gridCol w:w="75"/>
      </w:tblGrid>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Pryor Cashman LLP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Times Square, 40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 Ali Panjwani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ali.panjwani@pryorcashman.com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4364" w:right="0" w:hanging="2248"/>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the A&amp;R SPA]</w:t>
      </w:r>
    </w:p>
    <w:p>
      <w:pPr>
        <w:pStyle w:val="TextBody"/>
        <w:bidi w:val="0"/>
        <w:spacing w:before="0" w:after="0"/>
        <w:ind w:left="4364" w:right="0" w:hanging="224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PURCHASER SIGNATURE PAGES TO FARADAY FUTURE INTELLIGENT ELECTRIC INC. </w:t>
        <w:b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73"/>
        <w:gridCol w:w="60"/>
        <w:gridCol w:w="6372"/>
      </w:tblGrid>
      <w:tr>
        <w:trPr/>
        <w:tc>
          <w:tcPr>
            <w:tcW w:w="37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of Purchaser:</w:t>
            </w:r>
          </w:p>
        </w:tc>
        <w:tc>
          <w:tcPr>
            <w:tcW w:w="60" w:type="dxa"/>
            <w:tcBorders/>
            <w:vAlign w:val="center"/>
          </w:tcPr>
          <w:p>
            <w:pPr>
              <w:pStyle w:val="TableContents"/>
              <w:bidi w:val="0"/>
              <w:spacing w:before="0" w:after="283"/>
              <w:jc w:val="left"/>
              <w:rPr/>
            </w:pPr>
            <w:r>
              <w:rPr/>
              <w:t> </w:t>
            </w:r>
          </w:p>
        </w:tc>
        <w:tc>
          <w:tcPr>
            <w:tcW w:w="63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 King Arthur Holding Limited</w:t>
            </w:r>
          </w:p>
        </w:tc>
      </w:tr>
      <w:tr>
        <w:trPr/>
        <w:tc>
          <w:tcPr>
            <w:tcW w:w="3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2" w:type="dxa"/>
            <w:tcBorders/>
            <w:vAlign w:val="center"/>
          </w:tcPr>
          <w:p>
            <w:pPr>
              <w:pStyle w:val="TableContents"/>
              <w:bidi w:val="0"/>
              <w:spacing w:before="0" w:after="283"/>
              <w:jc w:val="left"/>
              <w:rPr/>
            </w:pPr>
            <w:r>
              <w:rPr/>
              <w:t> </w:t>
            </w:r>
          </w:p>
        </w:tc>
      </w:tr>
      <w:tr>
        <w:trPr/>
        <w:tc>
          <w:tcPr>
            <w:tcW w:w="37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Signature of Authorized Signatory of Purchaser</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3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Shawn Wang</w:t>
            </w:r>
          </w:p>
        </w:tc>
      </w:tr>
      <w:tr>
        <w:trPr/>
        <w:tc>
          <w:tcPr>
            <w:tcW w:w="3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2" w:type="dxa"/>
            <w:tcBorders/>
            <w:vAlign w:val="center"/>
          </w:tcPr>
          <w:p>
            <w:pPr>
              <w:pStyle w:val="TableContents"/>
              <w:bidi w:val="0"/>
              <w:spacing w:before="0" w:after="283"/>
              <w:jc w:val="left"/>
              <w:rPr/>
            </w:pPr>
            <w:r>
              <w:rPr/>
              <w:t> </w:t>
            </w:r>
          </w:p>
        </w:tc>
      </w:tr>
      <w:tr>
        <w:trPr/>
        <w:tc>
          <w:tcPr>
            <w:tcW w:w="37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of Authorized Signatory:</w:t>
            </w:r>
          </w:p>
        </w:tc>
        <w:tc>
          <w:tcPr>
            <w:tcW w:w="60" w:type="dxa"/>
            <w:tcBorders/>
            <w:vAlign w:val="center"/>
          </w:tcPr>
          <w:p>
            <w:pPr>
              <w:pStyle w:val="TableContents"/>
              <w:bidi w:val="0"/>
              <w:spacing w:before="0" w:after="283"/>
              <w:jc w:val="left"/>
              <w:rPr/>
            </w:pPr>
            <w:r>
              <w:rPr/>
              <w:t> </w:t>
            </w:r>
          </w:p>
        </w:tc>
        <w:tc>
          <w:tcPr>
            <w:tcW w:w="63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Wang Song</w:t>
            </w:r>
          </w:p>
        </w:tc>
      </w:tr>
      <w:tr>
        <w:trPr/>
        <w:tc>
          <w:tcPr>
            <w:tcW w:w="3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2" w:type="dxa"/>
            <w:tcBorders/>
            <w:vAlign w:val="center"/>
          </w:tcPr>
          <w:p>
            <w:pPr>
              <w:pStyle w:val="TableContents"/>
              <w:bidi w:val="0"/>
              <w:spacing w:before="0" w:after="283"/>
              <w:jc w:val="left"/>
              <w:rPr/>
            </w:pPr>
            <w:r>
              <w:rPr/>
              <w:t> </w:t>
            </w:r>
          </w:p>
        </w:tc>
      </w:tr>
      <w:tr>
        <w:trPr/>
        <w:tc>
          <w:tcPr>
            <w:tcW w:w="37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of Authorized Signatory:</w:t>
            </w:r>
          </w:p>
        </w:tc>
        <w:tc>
          <w:tcPr>
            <w:tcW w:w="60" w:type="dxa"/>
            <w:tcBorders/>
            <w:vAlign w:val="center"/>
          </w:tcPr>
          <w:p>
            <w:pPr>
              <w:pStyle w:val="TableContents"/>
              <w:bidi w:val="0"/>
              <w:spacing w:before="0" w:after="283"/>
              <w:jc w:val="left"/>
              <w:rPr/>
            </w:pPr>
            <w:r>
              <w:rPr/>
              <w:t> </w:t>
            </w:r>
          </w:p>
        </w:tc>
        <w:tc>
          <w:tcPr>
            <w:tcW w:w="63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r>
      <w:tr>
        <w:trPr/>
        <w:tc>
          <w:tcPr>
            <w:tcW w:w="3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2" w:type="dxa"/>
            <w:tcBorders/>
            <w:vAlign w:val="center"/>
          </w:tcPr>
          <w:p>
            <w:pPr>
              <w:pStyle w:val="TableContents"/>
              <w:bidi w:val="0"/>
              <w:spacing w:before="0" w:after="283"/>
              <w:jc w:val="left"/>
              <w:rPr/>
            </w:pPr>
            <w:r>
              <w:rPr/>
              <w:t> </w:t>
            </w:r>
          </w:p>
        </w:tc>
      </w:tr>
      <w:tr>
        <w:trPr/>
        <w:tc>
          <w:tcPr>
            <w:tcW w:w="37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Address of Authorized Signatory:</w:t>
            </w:r>
          </w:p>
        </w:tc>
        <w:tc>
          <w:tcPr>
            <w:tcW w:w="60" w:type="dxa"/>
            <w:tcBorders/>
            <w:vAlign w:val="center"/>
          </w:tcPr>
          <w:p>
            <w:pPr>
              <w:pStyle w:val="TableContents"/>
              <w:bidi w:val="0"/>
              <w:spacing w:before="0" w:after="283"/>
              <w:jc w:val="left"/>
              <w:rPr/>
            </w:pPr>
            <w:r>
              <w:rPr/>
              <w:t> </w:t>
            </w:r>
          </w:p>
        </w:tc>
        <w:tc>
          <w:tcPr>
            <w:tcW w:w="63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shawn.wang830927@gmail.com</w:t>
            </w:r>
          </w:p>
        </w:tc>
      </w:tr>
      <w:tr>
        <w:trPr/>
        <w:tc>
          <w:tcPr>
            <w:tcW w:w="3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2" w:type="dxa"/>
            <w:tcBorders/>
            <w:vAlign w:val="center"/>
          </w:tcPr>
          <w:p>
            <w:pPr>
              <w:pStyle w:val="TableContents"/>
              <w:bidi w:val="0"/>
              <w:spacing w:before="0" w:after="283"/>
              <w:jc w:val="left"/>
              <w:rPr/>
            </w:pPr>
            <w:r>
              <w:rPr/>
              <w:t> </w:t>
            </w:r>
          </w:p>
        </w:tc>
      </w:tr>
      <w:tr>
        <w:trPr/>
        <w:tc>
          <w:tcPr>
            <w:tcW w:w="37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 to Purchaser:</w:t>
            </w:r>
          </w:p>
        </w:tc>
        <w:tc>
          <w:tcPr>
            <w:tcW w:w="60" w:type="dxa"/>
            <w:tcBorders/>
            <w:vAlign w:val="center"/>
          </w:tcPr>
          <w:p>
            <w:pPr>
              <w:pStyle w:val="TableContents"/>
              <w:bidi w:val="0"/>
              <w:spacing w:before="0" w:after="283"/>
              <w:jc w:val="left"/>
              <w:rPr/>
            </w:pPr>
            <w:r>
              <w:rPr/>
              <w:t> </w:t>
            </w:r>
          </w:p>
        </w:tc>
        <w:tc>
          <w:tcPr>
            <w:tcW w:w="63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H020 3/F PHASE 2 KWAI SHING IND BUILDING 42-46 TAI LIN PAI RD KWAI CHUNG HK</w:t>
            </w:r>
          </w:p>
        </w:tc>
      </w:tr>
      <w:tr>
        <w:trPr/>
        <w:tc>
          <w:tcPr>
            <w:tcW w:w="3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2" w:type="dxa"/>
            <w:tcBorders/>
            <w:vAlign w:val="center"/>
          </w:tcPr>
          <w:p>
            <w:pPr>
              <w:pStyle w:val="TableContents"/>
              <w:bidi w:val="0"/>
              <w:spacing w:before="0" w:after="283"/>
              <w:jc w:val="left"/>
              <w:rPr/>
            </w:pPr>
            <w:r>
              <w:rPr/>
              <w:t> </w:t>
            </w:r>
          </w:p>
        </w:tc>
      </w:tr>
      <w:tr>
        <w:trPr/>
        <w:tc>
          <w:tcPr>
            <w:tcW w:w="37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Delivery of Securities to Purchaser (if not same as address for notice):</w:t>
            </w:r>
          </w:p>
        </w:tc>
        <w:tc>
          <w:tcPr>
            <w:tcW w:w="60" w:type="dxa"/>
            <w:tcBorders/>
            <w:vAlign w:val="center"/>
          </w:tcPr>
          <w:p>
            <w:pPr>
              <w:pStyle w:val="TableContents"/>
              <w:bidi w:val="0"/>
              <w:spacing w:before="0" w:after="283"/>
              <w:jc w:val="left"/>
              <w:rPr/>
            </w:pPr>
            <w:r>
              <w:rPr/>
              <w:t> </w:t>
            </w:r>
          </w:p>
        </w:tc>
        <w:tc>
          <w:tcPr>
            <w:tcW w:w="63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Same as Address for Notice</w:t>
            </w:r>
          </w:p>
        </w:tc>
      </w:tr>
      <w:tr>
        <w:trPr/>
        <w:tc>
          <w:tcPr>
            <w:tcW w:w="3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2" w:type="dxa"/>
            <w:tcBorders/>
            <w:vAlign w:val="center"/>
          </w:tcPr>
          <w:p>
            <w:pPr>
              <w:pStyle w:val="TableContents"/>
              <w:bidi w:val="0"/>
              <w:spacing w:before="0" w:after="283"/>
              <w:jc w:val="left"/>
              <w:rPr/>
            </w:pPr>
            <w:r>
              <w:rPr/>
              <w:t> </w:t>
            </w:r>
          </w:p>
        </w:tc>
      </w:tr>
      <w:tr>
        <w:trPr/>
        <w:tc>
          <w:tcPr>
            <w:tcW w:w="37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Subscription Amount:</w:t>
            </w:r>
          </w:p>
        </w:tc>
        <w:tc>
          <w:tcPr>
            <w:tcW w:w="60" w:type="dxa"/>
            <w:tcBorders/>
            <w:vAlign w:val="center"/>
          </w:tcPr>
          <w:p>
            <w:pPr>
              <w:pStyle w:val="TableContents"/>
              <w:bidi w:val="0"/>
              <w:spacing w:before="0" w:after="283"/>
              <w:jc w:val="left"/>
              <w:rPr/>
            </w:pPr>
            <w:r>
              <w:rPr/>
              <w:t> </w:t>
            </w:r>
          </w:p>
        </w:tc>
        <w:tc>
          <w:tcPr>
            <w:tcW w:w="63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$500,000</w:t>
            </w:r>
          </w:p>
        </w:tc>
      </w:tr>
      <w:tr>
        <w:trPr/>
        <w:tc>
          <w:tcPr>
            <w:tcW w:w="3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2" w:type="dxa"/>
            <w:tcBorders/>
            <w:vAlign w:val="center"/>
          </w:tcPr>
          <w:p>
            <w:pPr>
              <w:pStyle w:val="TableContents"/>
              <w:bidi w:val="0"/>
              <w:spacing w:before="0" w:after="283"/>
              <w:jc w:val="left"/>
              <w:rPr/>
            </w:pPr>
            <w:r>
              <w:rPr/>
              <w:t> </w:t>
            </w:r>
          </w:p>
        </w:tc>
      </w:tr>
      <w:tr>
        <w:trPr/>
        <w:tc>
          <w:tcPr>
            <w:tcW w:w="37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Stock Subscription Amount:</w:t>
            </w:r>
          </w:p>
        </w:tc>
        <w:tc>
          <w:tcPr>
            <w:tcW w:w="60" w:type="dxa"/>
            <w:tcBorders/>
            <w:vAlign w:val="center"/>
          </w:tcPr>
          <w:p>
            <w:pPr>
              <w:pStyle w:val="TableContents"/>
              <w:bidi w:val="0"/>
              <w:spacing w:before="0" w:after="283"/>
              <w:jc w:val="left"/>
              <w:rPr/>
            </w:pPr>
            <w:r>
              <w:rPr/>
              <w:t> </w:t>
            </w:r>
          </w:p>
        </w:tc>
        <w:tc>
          <w:tcPr>
            <w:tcW w:w="63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$11,502,191.78</w:t>
            </w:r>
          </w:p>
        </w:tc>
      </w:tr>
      <w:tr>
        <w:trPr/>
        <w:tc>
          <w:tcPr>
            <w:tcW w:w="3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2" w:type="dxa"/>
            <w:tcBorders/>
            <w:vAlign w:val="center"/>
          </w:tcPr>
          <w:p>
            <w:pPr>
              <w:pStyle w:val="TableContents"/>
              <w:bidi w:val="0"/>
              <w:spacing w:before="0" w:after="283"/>
              <w:jc w:val="left"/>
              <w:rPr/>
            </w:pPr>
            <w:r>
              <w:rPr/>
              <w:t> </w:t>
            </w:r>
          </w:p>
        </w:tc>
      </w:tr>
      <w:tr>
        <w:trPr/>
        <w:tc>
          <w:tcPr>
            <w:tcW w:w="37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EIN Number:</w:t>
            </w:r>
          </w:p>
        </w:tc>
        <w:tc>
          <w:tcPr>
            <w:tcW w:w="60" w:type="dxa"/>
            <w:tcBorders/>
            <w:vAlign w:val="center"/>
          </w:tcPr>
          <w:p>
            <w:pPr>
              <w:pStyle w:val="TableContents"/>
              <w:bidi w:val="0"/>
              <w:spacing w:before="0" w:after="283"/>
              <w:jc w:val="left"/>
              <w:rPr/>
            </w:pPr>
            <w:r>
              <w:rPr/>
              <w:t> </w:t>
            </w:r>
          </w:p>
        </w:tc>
        <w:tc>
          <w:tcPr>
            <w:tcW w:w="6372"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Annex A</w:t>
      </w:r>
    </w:p>
    <w:p>
      <w:pPr>
        <w:pStyle w:val="TextBody"/>
        <w:bidi w:val="0"/>
        <w:spacing w:before="0" w:after="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Definitions</w:t>
      </w:r>
    </w:p>
    <w:p>
      <w:pPr>
        <w:pStyle w:val="TextBody"/>
        <w:bidi w:val="0"/>
        <w:spacing w:before="0" w:after="0"/>
        <w:ind w:left="5560" w:right="0" w:hanging="1"/>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Aggregate Share Issuance</w:t>
      </w:r>
      <w:r>
        <w:rPr>
          <w:rFonts w:ascii="Times New Roman;Times;Serif" w:hAnsi="Times New Roman;Times;Serif"/>
          <w:b w:val="false"/>
          <w:i w:val="false"/>
          <w:caps w:val="false"/>
          <w:smallCaps w:val="false"/>
          <w:sz w:val="20"/>
        </w:rPr>
        <w:t xml:space="preserve">” means, from time to time, the aggregate number of shares of Common Stock issued to the Purchaser pursuant to this Agreement, including any securities of the Issuer issuable pursuant to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Anti-Terrorism Laws</w:t>
      </w:r>
      <w:r>
        <w:rPr>
          <w:rFonts w:ascii="Times New Roman;Times;Serif" w:hAnsi="Times New Roman;Times;Serif"/>
          <w:b w:val="false"/>
          <w:i w:val="false"/>
          <w:caps w:val="false"/>
          <w:smallCaps w:val="false"/>
          <w:sz w:val="20"/>
        </w:rPr>
        <w:t xml:space="preserve">” means any Laws relating to terrorism or money laundering, including Executive Order No. 13224 (effective September 24, 2001), the USA PATRIOT Act, the Laws comprising or implementing the Bank Secrecy Act, the Laws administered by OFAC, the </w:t>
      </w:r>
      <w:r>
        <w:rPr>
          <w:rFonts w:ascii="Times New Roman;Times;Serif" w:hAnsi="Times New Roman;Times;Serif"/>
          <w:b w:val="false"/>
          <w:i/>
          <w:caps w:val="false"/>
          <w:smallCaps w:val="false"/>
          <w:sz w:val="20"/>
        </w:rPr>
        <w:t xml:space="preserve">Criminal Code </w:t>
      </w:r>
      <w:r>
        <w:rPr>
          <w:rFonts w:ascii="Times New Roman;Times;Serif" w:hAnsi="Times New Roman;Times;Serif"/>
          <w:b w:val="false"/>
          <w:i w:val="false"/>
          <w:caps w:val="false"/>
          <w:smallCaps w:val="false"/>
          <w:sz w:val="20"/>
        </w:rPr>
        <w:t xml:space="preserve">(Canada), and the </w:t>
      </w:r>
      <w:r>
        <w:rPr>
          <w:rFonts w:ascii="Times New Roman;Times;Serif" w:hAnsi="Times New Roman;Times;Serif"/>
          <w:b w:val="false"/>
          <w:i/>
          <w:caps w:val="false"/>
          <w:smallCaps w:val="false"/>
          <w:sz w:val="20"/>
        </w:rPr>
        <w:t xml:space="preserve">Proceeds of Crime (Money Laundering) and Terrorist Financing Act </w:t>
      </w:r>
      <w:r>
        <w:rPr>
          <w:rFonts w:ascii="Times New Roman;Times;Serif" w:hAnsi="Times New Roman;Times;Serif"/>
          <w:b w:val="false"/>
          <w:i w:val="false"/>
          <w:caps w:val="false"/>
          <w:smallCaps w:val="false"/>
          <w:sz w:val="20"/>
        </w:rPr>
        <w:t>(Canada) (as any of the foregoing laws may from time to time be amended, renewed, extended, or replaced).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Signing Date pursuant to which, among other things, shares of Common Stock and options to purchase Common Stock may be issued to any employee, officer or director for services provided to the Company in their capacity as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Blocked Person</w:t>
      </w:r>
      <w:r>
        <w:rPr>
          <w:rFonts w:ascii="Times New Roman;Times;Serif" w:hAnsi="Times New Roman;Times;Serif"/>
          <w:b w:val="false"/>
          <w:i w:val="false"/>
          <w:caps w:val="false"/>
          <w:smallCaps w:val="false"/>
          <w:sz w:val="20"/>
        </w:rPr>
        <w:t>” means any Person: (a) listed in the annex to, or is otherwise subject to the provisions of, Executive Order No. 13224, (b) owned or controlled by, or acting for or on behalf of, any Person that is listed in the annex to, or is otherwise subject to the provisions of, Executive Order No. 13224, (c) with which any Purchaser is prohibited from dealing or otherwise engaging in any transaction by any Anti-Terrorism Law, (d) that commits, threatens or conspires to commit or supports “terrorism” as defined in Executive Order No. 13224; or (e) that is named, or owned or controlled by, a “specially designated national” or “blocked person” on the most current list published by OFAC or other similar list.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Saturday, Sunday and any day which shall be a federal legal holiday in the United States or a day on which the Federal Reserve Bank of New York is closed and/or any of the following exchanges on which the Common Stock is traded and listed, or any successor(s) thereto, is not open for at least five (5) hours of trading: the Nasdaq Capital Market; the Nasdaq Global Market; the Nasdaq Global Select Market; the New York Stock Exchange; or the NYSE American; and any successor to any of the foregoing markets or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Capitalized Lease Obligations</w:t>
      </w:r>
      <w:r>
        <w:rPr>
          <w:rFonts w:ascii="Times New Roman;Times;Serif" w:hAnsi="Times New Roman;Times;Serif"/>
          <w:b w:val="false"/>
          <w:i w:val="false"/>
          <w:caps w:val="false"/>
          <w:smallCaps w:val="false"/>
          <w:sz w:val="20"/>
        </w:rPr>
        <w:t>” shall mean any obligation under a Capital Lease.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Lease</w:t>
      </w:r>
      <w:r>
        <w:rPr>
          <w:rFonts w:ascii="Times New Roman;Times;Serif" w:hAnsi="Times New Roman;Times;Serif"/>
          <w:b w:val="false"/>
          <w:i w:val="false"/>
          <w:caps w:val="false"/>
          <w:smallCaps w:val="false"/>
          <w:sz w:val="20"/>
        </w:rPr>
        <w:t>” of any Person means any lease of any property by such Person as lessee which would, in accordance with GAAP, be required to be accounted for as a capital lease on the balance sheet of such Person and shall include, without limitation, all operating leases that are not leases for real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CERCLA</w:t>
      </w:r>
      <w:r>
        <w:rPr>
          <w:rFonts w:ascii="Times New Roman;Times;Serif" w:hAnsi="Times New Roman;Times;Serif"/>
          <w:b w:val="false"/>
          <w:i w:val="false"/>
          <w:caps w:val="false"/>
          <w:smallCaps w:val="false"/>
          <w:sz w:val="20"/>
        </w:rPr>
        <w:t>” means the Comprehensive Environmental Response, Compensation and Liability Act of 1980.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CFC</w:t>
      </w:r>
      <w:r>
        <w:rPr>
          <w:rFonts w:ascii="Times New Roman;Times;Serif" w:hAnsi="Times New Roman;Times;Serif"/>
          <w:b w:val="false"/>
          <w:i w:val="false"/>
          <w:caps w:val="false"/>
          <w:smallCaps w:val="false"/>
          <w:sz w:val="20"/>
        </w:rPr>
        <w:t xml:space="preserve">” means a controlled foreign corporation within the meaning of Section 957 of the Code.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means the closing of the purchase and sale of the Securities pursuant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the date on which the Closing occurs.</w:t>
      </w:r>
    </w:p>
    <w:p>
      <w:pPr>
        <w:pStyle w:val="TextBody"/>
        <w:bidi w:val="0"/>
        <w:spacing w:before="0" w:after="0"/>
        <w:ind w:left="219"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United States Securities and Exchange Commission.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Class A Common Stock of the Issuer, par value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 Equivalents</w:t>
      </w:r>
      <w:r>
        <w:rPr>
          <w:rFonts w:ascii="Times New Roman;Times;Serif" w:hAnsi="Times New Roman;Times;Serif"/>
          <w:b w:val="false"/>
          <w:i w:val="false"/>
          <w:caps w:val="false"/>
          <w:smallCaps w:val="false"/>
          <w:sz w:val="20"/>
        </w:rPr>
        <w:t>” means any securities of the Issuer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 Subscription Amount</w:t>
      </w:r>
      <w:r>
        <w:rPr>
          <w:rFonts w:ascii="Times New Roman;Times;Serif" w:hAnsi="Times New Roman;Times;Serif"/>
          <w:b w:val="false"/>
          <w:i w:val="false"/>
          <w:caps w:val="false"/>
          <w:smallCaps w:val="false"/>
          <w:sz w:val="20"/>
        </w:rPr>
        <w:t>” means the amount of Series C Convertible Preferred Stock to be purchased by the Purchaser, as provided under the heading “Preferred Stock Subscription Amount” on the Purchaser’s signature page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Controlled Group</w:t>
      </w:r>
      <w:r>
        <w:rPr>
          <w:rFonts w:ascii="Times New Roman;Times;Serif" w:hAnsi="Times New Roman;Times;Serif"/>
          <w:b w:val="false"/>
          <w:i w:val="false"/>
          <w:caps w:val="false"/>
          <w:smallCaps w:val="false"/>
          <w:sz w:val="20"/>
        </w:rPr>
        <w:t>” means any organization which is a member of a controlled, affiliated or otherwise related group of entities within the meaning of Code Sections 414(b), (c), (m), or (o)).</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means the shares of Common Stock issuable, from time to time, upon conversion of the Series C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Debt</w:t>
      </w:r>
      <w:r>
        <w:rPr>
          <w:rFonts w:ascii="Times New Roman;Times;Serif" w:hAnsi="Times New Roman;Times;Serif"/>
          <w:b w:val="false"/>
          <w:i w:val="false"/>
          <w:caps w:val="false"/>
          <w:smallCaps w:val="false"/>
          <w:sz w:val="20"/>
        </w:rPr>
        <w:t>” shall mean, as to any Person at a particular time, without duplication, all of the following, whether or not included as indebtedness or liabilities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obligations for borrowed money, whether current or long-term (including the Obligations hereunder and all Capitalized Lease Obligations), all obligations evidenced by bonds, debentures, notes or other similar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obligations in respect of the deferred purchase price of property or services (other than trade accounts payable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non-contingent obligations under letters of credit (including standby and commercial), bankers’ acceptances and similar instruments (including bank guaranties);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attributable principal amount of Capital Leases, Synthetic Leases, Securitization Transaction and sale leaseback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Debt of others secured by (or for which the holder of such Debt has an existing right, contingent or otherwise, to be secured by) any Lien on, or payable out of the proceeds of production from, property owned or acquired by such Person, whether or not the obligations secured thereby have been assumed;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Guarantees in respect of Debt of another Person; and</w:t>
      </w:r>
    </w:p>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Debt of any partnership or joint venture or other similar entity in which such Person is a general partner or joint venturer, and, as such, has personal liability for such obligations, but only to the extent there is recourse to such Person for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hereof, the amount of Debt shall be determined (w) based on the outstanding principal amount in the case of borrowed money indebtedness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and purchase money indebtedness and the deferred purchase obligations under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(x) based on the maximum amount available to be drawn in the case of letter of credit obligations and the other obligations under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(y) based on the amount of Debt that is the subject of the Guarantees and for which there is recourse to such Person in the case of Guarantees under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and (z) based on the lesser of the amount of Debt secured by such lien or the fair market value of the assets pledged in the case of Debt under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4.5(a)</w:t>
      </w: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Domestic Subsidiary</w:t>
      </w:r>
      <w:r>
        <w:rPr>
          <w:rFonts w:ascii="Times New Roman;Times;Serif" w:hAnsi="Times New Roman;Times;Serif"/>
          <w:b w:val="false"/>
          <w:i w:val="false"/>
          <w:caps w:val="false"/>
          <w:smallCaps w:val="false"/>
          <w:sz w:val="20"/>
        </w:rPr>
        <w:t>” means any Subsidiary of the Issuer organized, incorporated or otherwise formed under the laws of the United States or any state thereof, other than any such Subsidiary that has no assets (other than de minimis amounts) other than the Capital Stock or other equity interests of Foreign Subsidiaries that are CFCs.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DVP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DWAC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2.2(a)(iv)</w:t>
      </w: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any and all Laws relating to the environment or the effect of the environment on human health or to emissions, discharges or releases of pollutants, contaminants, Hazardous Materials or wastes into the environment, including ambient air, surface water, ground water or land, or otherwise relating to the manufacture, processing, distribution, use, treatment, storage, disposal, transport or handling of pollutants, contaminants, Hazardous Materials or wastes or the clean up or other remediation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w:t>
      </w:r>
      <w:r>
        <w:rPr>
          <w:rFonts w:ascii="Times New Roman;Times;Serif" w:hAnsi="Times New Roman;Times;Serif"/>
          <w:b/>
          <w:i w:val="false"/>
          <w:caps w:val="false"/>
          <w:smallCaps w:val="false"/>
          <w:sz w:val="20"/>
        </w:rPr>
        <w:t>ERISA Plan</w:t>
      </w:r>
      <w:r>
        <w:rPr>
          <w:rFonts w:ascii="Times New Roman;Times;Serif" w:hAnsi="Times New Roman;Times;Serif"/>
          <w:b w:val="false"/>
          <w:i w:val="false"/>
          <w:caps w:val="false"/>
          <w:smallCaps w:val="false"/>
          <w:sz w:val="20"/>
        </w:rPr>
        <w:t>” means any “employee benefit plan”, as such term is defined in Section 3(3) of ERISA (other than a Multiemployer Plan), which the Issuer or any Subsidiary maintains, sponsors or contributes to, or, in the case of an employee benefit plan which is subject to Section 412 of the Code or Title IV of ERISA, to which the Issuer or any Subsidiary or any member of the Controlled Group may have any liability, including any liability by reason of having been a substantial employer within the meaning of Section 4063 of ERISA at any time during the preceding five years, or by reason of being deemed to be a contributing sponsor under Section 4069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(i) shares of Common Stock, Common Stock Equivalents, or options to purchase Common Stock issued to directors, officers, employees or consultants of the Company and/or its Subsidiaries for services rendered to the Company and/or its Subsidiaries in their capacity as such pursuant to an Approved Stock Plan (as defined above); (ii) shares of Common Stock issued upon the conversion or exercise of convertible securities or options (other than standard options to purchase Common Stock issued pursuant to an Approved Stock Plan that are covered by clause (i) above) issued prior to the Signing Date; and (iii) the Existing Senior Securities, Existing Unsecured Securities and any other securities issued after the date of this Agreement pursuant to any Existing SPAs and the shares of Common Stock issuable upon conversion or exercise of each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Senior Securities</w:t>
      </w:r>
      <w:r>
        <w:rPr>
          <w:rFonts w:ascii="Times New Roman;Times;Serif" w:hAnsi="Times New Roman;Times;Serif"/>
          <w:b w:val="false"/>
          <w:i w:val="false"/>
          <w:caps w:val="false"/>
          <w:smallCaps w:val="false"/>
          <w:sz w:val="20"/>
        </w:rPr>
        <w:t>” means those certain (i) senior secured convertible notes, issued from time to time, and accompanying common warrants, pursuant to that certain Securities Purchase Agreement, dated as of August 15, 2022, by and among the Company and FF Simplicity Ventures LLC, as such may be amended, modified, waived and/or supplemented, as applicable, from time to time (the “</w:t>
      </w:r>
      <w:r>
        <w:rPr>
          <w:rFonts w:ascii="Times New Roman;Times;Serif" w:hAnsi="Times New Roman;Times;Serif"/>
          <w:b/>
          <w:i w:val="false"/>
          <w:caps w:val="false"/>
          <w:smallCaps w:val="false"/>
          <w:sz w:val="20"/>
        </w:rPr>
        <w:t>August 2022 SPA</w:t>
      </w:r>
      <w:r>
        <w:rPr>
          <w:rFonts w:ascii="Times New Roman;Times;Serif" w:hAnsi="Times New Roman;Times;Serif"/>
          <w:b w:val="false"/>
          <w:i w:val="false"/>
          <w:caps w:val="false"/>
          <w:smallCaps w:val="false"/>
          <w:sz w:val="20"/>
        </w:rPr>
        <w:t>”) and (ii) secured convertible notes, issued from time to time, and accompanying common warrants, pursuant to that certain Securities Purchase Agreement, dated as of September 5, 2024, by and among the Company and certain investors party thereto, as such may be amended, modified, waived and/or supplemented, as applicable, from time to time (the “</w:t>
      </w:r>
      <w:r>
        <w:rPr>
          <w:rFonts w:ascii="Times New Roman;Times;Serif" w:hAnsi="Times New Roman;Times;Serif"/>
          <w:b/>
          <w:i w:val="false"/>
          <w:caps w:val="false"/>
          <w:smallCaps w:val="false"/>
          <w:sz w:val="20"/>
        </w:rPr>
        <w:t>September 2024 SPA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SPAs</w:t>
      </w:r>
      <w:r>
        <w:rPr>
          <w:rFonts w:ascii="Times New Roman;Times;Serif" w:hAnsi="Times New Roman;Times;Serif"/>
          <w:b w:val="false"/>
          <w:i w:val="false"/>
          <w:caps w:val="false"/>
          <w:smallCaps w:val="false"/>
          <w:sz w:val="20"/>
        </w:rPr>
        <w:t>” means collectively, the August 2022 SPA, the September 2024 SPA, the December 2024 SPA, the March 2025 SPA, the May 2023 SPA and the July 2025 SPA.</w:t>
      </w:r>
    </w:p>
    <w:p>
      <w:pPr>
        <w:pStyle w:val="TextBody"/>
        <w:bidi w:val="0"/>
        <w:spacing w:before="0" w:after="0"/>
        <w:ind w:left="0" w:right="0" w:hanging="0"/>
        <w:jc w:val="righ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Unsecured Securities</w:t>
      </w:r>
      <w:r>
        <w:rPr>
          <w:rFonts w:ascii="Times New Roman;Times;Serif" w:hAnsi="Times New Roman;Times;Serif"/>
          <w:b w:val="false"/>
          <w:i w:val="false"/>
          <w:caps w:val="false"/>
          <w:smallCaps w:val="false"/>
          <w:sz w:val="20"/>
        </w:rPr>
        <w:t>” means those certain (i) unsecured convertible notes, issued from time to time, and accompanying common warrants, pursuant to that certain Securities Purchase Agreement, dated as of December 21, 2024, by and among the Company and certain investors party thereto, as such may be amended, modified, waived and/or supplemented, as applicable, from time to time (the “</w:t>
      </w:r>
      <w:r>
        <w:rPr>
          <w:rFonts w:ascii="Times New Roman;Times;Serif" w:hAnsi="Times New Roman;Times;Serif"/>
          <w:b/>
          <w:i w:val="false"/>
          <w:caps w:val="false"/>
          <w:smallCaps w:val="false"/>
          <w:sz w:val="20"/>
        </w:rPr>
        <w:t>December 2024 SPA</w:t>
      </w:r>
      <w:r>
        <w:rPr>
          <w:rFonts w:ascii="Times New Roman;Times;Serif" w:hAnsi="Times New Roman;Times;Serif"/>
          <w:b w:val="false"/>
          <w:i w:val="false"/>
          <w:caps w:val="false"/>
          <w:smallCaps w:val="false"/>
          <w:sz w:val="20"/>
        </w:rPr>
        <w:t>”); (ii) unsecured convertible notes, issued from time to time, and accompanying common warrants, pursuant to that certain Securities Purchase Agreement, dated as of March 21, 2025, by and among the Company and certain investors party thereto, as such may be amended, modified, waived and/or supplemented, as applicable, from time to time (the “</w:t>
      </w:r>
      <w:r>
        <w:rPr>
          <w:rFonts w:ascii="Times New Roman;Times;Serif" w:hAnsi="Times New Roman;Times;Serif"/>
          <w:b/>
          <w:i w:val="false"/>
          <w:caps w:val="false"/>
          <w:smallCaps w:val="false"/>
          <w:sz w:val="20"/>
        </w:rPr>
        <w:t>March 2025 SPA</w:t>
      </w:r>
      <w:r>
        <w:rPr>
          <w:rFonts w:ascii="Times New Roman;Times;Serif" w:hAnsi="Times New Roman;Times;Serif"/>
          <w:b w:val="false"/>
          <w:i w:val="false"/>
          <w:caps w:val="false"/>
          <w:smallCaps w:val="false"/>
          <w:sz w:val="20"/>
        </w:rPr>
        <w:t>”); (iii) unsecured convertible notes, issued, or to be issued from time to time, and accompanying common warrants, pursuant to that certain Securities Purchase Agreement, dated as of May 8, 2023, by and among the Company and certain investors party thereto, as such may be amended, modified, waived and/or supplemented, as applicable, from time to time (the “</w:t>
      </w:r>
      <w:r>
        <w:rPr>
          <w:rFonts w:ascii="Times New Roman;Times;Serif" w:hAnsi="Times New Roman;Times;Serif"/>
          <w:b/>
          <w:i w:val="false"/>
          <w:caps w:val="false"/>
          <w:smallCaps w:val="false"/>
          <w:sz w:val="20"/>
        </w:rPr>
        <w:t>May 2023 SPA</w:t>
      </w:r>
      <w:r>
        <w:rPr>
          <w:rFonts w:ascii="Times New Roman;Times;Serif" w:hAnsi="Times New Roman;Times;Serif"/>
          <w:b w:val="false"/>
          <w:i w:val="false"/>
          <w:caps w:val="false"/>
          <w:smallCaps w:val="false"/>
          <w:sz w:val="20"/>
        </w:rPr>
        <w:t>”); and (iv) unsecured convertible notes, issued from time to time, and accompanying common warrants, pursuant to that certain Securities Purchase Agreement, dated as of July 14, 2025, by and among the Company and certain investors party thereto, as such may be amended, modified, waived and/or supplemented, as applicable, from time to time (the “</w:t>
      </w:r>
      <w:r>
        <w:rPr>
          <w:rFonts w:ascii="Times New Roman;Times;Serif" w:hAnsi="Times New Roman;Times;Serif"/>
          <w:b/>
          <w:i w:val="false"/>
          <w:caps w:val="false"/>
          <w:smallCaps w:val="false"/>
          <w:sz w:val="20"/>
        </w:rPr>
        <w:t>July 2025 SPA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applicable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means the Foreign Corrupt Practices Act of 1977, as amended, and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Filing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Government Benefit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3.12(c)</w:t>
      </w:r>
      <w:r>
        <w:rPr>
          <w:rFonts w:ascii="Times New Roman;Times;Serif" w:hAnsi="Times New Roman;Times;Serif"/>
          <w:b w:val="false"/>
          <w:i w:val="false"/>
          <w:caps w:val="false"/>
          <w:smallCaps w:val="false"/>
          <w:sz w:val="20"/>
        </w:rPr>
        <w:t>.</w:t>
      </w:r>
    </w:p>
    <w:p>
      <w:pPr>
        <w:pStyle w:val="TextBody"/>
        <w:bidi w:val="0"/>
        <w:spacing w:before="0" w:after="0"/>
        <w:ind w:left="652"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nation or government, any state or other political subdivision thereof, and any agency, department or Person exercising executive, legislative, judicial, regulatory or administrative functions of or pertaining to government and any corporation or other Person owned or controlled (through stock or capital ownership or otherwise) by any of the foregoing, whether domestic or foreign.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xml:space="preserve">” by any Person means any obligation, contingent or otherwise, of such Person directly or indirectly guaranteeing any Debt or other obligation of any other Person and, without limiting the generality of the foregoing, any obligation, direct or indirect, contingent or otherwise, of such Person (a) to purchase or pay (or advance or supply funds for the purchase or payment of) such Debt or other obligation (whether arising by virtue of partnership arrangements, by agreement to keep well, to purchase assets, goods, securities or services, to take or pay, or to maintain financial statement conditions or otherwise) or (b) entered into for the purpose of assuring in any other manner the obligee of such Debt or other obligation of the payment thereof or to protect such obligee against loss in respect thereof (in whole or in part),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Guarantee shall not include endorsements for collection or deposit in the Ordinary Course of Business. The term “Guarantee” used as a verb has a corresponding meaning.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means (a) any “hazardous substance” as defined in CERCLA, (b) any “hazardous waste” as defined in RCRA, (c) asbestos, (d) polychlorinated biphenyls, (e) petroleum, its derivatives, by products and other hydrocarbons, (f) toxic mold and (g) any other pollutant, toxic, radioactive, caustic or otherwise hazardous substance regulated under Environmental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 Contamination</w:t>
      </w:r>
      <w:r>
        <w:rPr>
          <w:rFonts w:ascii="Times New Roman;Times;Serif" w:hAnsi="Times New Roman;Times;Serif"/>
          <w:b w:val="false"/>
          <w:i w:val="false"/>
          <w:caps w:val="false"/>
          <w:smallCaps w:val="false"/>
          <w:sz w:val="20"/>
        </w:rPr>
        <w:t>” means contamination (whether now existing or hereafter occurring) of the improvements, buildings, facilities, personalty, soil, groundwater, air or other elements on or of the relevant property by Hazardous Materials, or any derivatives thereof, or on or of any other property as a result of Hazardous Materials, or any derivatives thereof, generated on, emanating from or disposed of in connection with the relevant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Laws</w:t>
      </w:r>
      <w:r>
        <w:rPr>
          <w:rFonts w:ascii="Times New Roman;Times;Serif" w:hAnsi="Times New Roman;Times;Serif"/>
          <w:b w:val="false"/>
          <w:i w:val="false"/>
          <w:caps w:val="false"/>
          <w:smallCaps w:val="false"/>
          <w:sz w:val="20"/>
        </w:rPr>
        <w:t>” means any and all federal, state, provincial, territorial, local and foreign statutes, laws, judicial decisions, regulations, ordinances, rules, judgments, orders, decrees, codes, injunctions, permits, concessions, grants, franchises, governmental agreements and governmental restrictions, whether now or hereafter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Legend Removal Date</w:t>
      </w:r>
      <w:r>
        <w:rPr>
          <w:rFonts w:ascii="Times New Roman;Times;Serif" w:hAnsi="Times New Roman;Times;Serif"/>
          <w:b w:val="false"/>
          <w:i w:val="false"/>
          <w:caps w:val="false"/>
          <w:smallCaps w:val="false"/>
          <w:sz w:val="20"/>
        </w:rPr>
        <w:t xml:space="preserve">” has the meaning set forth in the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means any claim, investigation, action, suit or proceeding before any court, mediator, arbitrator or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Margin Stock</w:t>
      </w:r>
      <w:r>
        <w:rPr>
          <w:rFonts w:ascii="Times New Roman;Times;Serif" w:hAnsi="Times New Roman;Times;Serif"/>
          <w:b w:val="false"/>
          <w:i w:val="false"/>
          <w:caps w:val="false"/>
          <w:smallCaps w:val="false"/>
          <w:sz w:val="20"/>
        </w:rPr>
        <w:t>” has the meaning assigned thereto in Regulation U of the Federal Reserve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with respect to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material adverse change in, or a material adverse effect upon, any of (a) the business, operations, properties or condition (financial or otherwise) of the Issuer, (b) the rights and remedies of the Purchaser under this Agreement, or the ability of the Issuer, taken as a whole, to perform any of its obligations under this Agreement, or (c) the legality, validity or enforceability of this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means 19.99% of the total outstanding shares of Common Stock immediately prior to the date hereof (subject to adjustment for any stock splits, combinations or the like).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MFN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means a multiemployer plan, that is intended to meet the definition set forth in Section 3(37) or 4001(a)(3) of ERISA, to which the Issuer or any member of the Controlled Group may have any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collectively, the Nasdaq Capital Market; the Nasdaq Global Market; the Nasdaq Global Select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4.5(a)</w:t>
      </w: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means all loans, debts, principal, interest (including any interest that accrues after the commencement of any bankruptcy, insolvency or other enforcement proceeding, regardless of whether allowed or allowable in whole or in part as a claim in any such proceeding), premiums, obligations (including indemnification obligations), fees, costs, expenses and other charges (including any costs, fees, expenses or other charges that accrue after the commencement of any bankruptcy, insolvency or other enforcement proceeding, regardless of whether allowed or allowable in whole or in part as a claim in any such proceeding), guaranties, and all covenants and duties of any other kind and description owing by the Issuer arising out of, under, pursuant to, in connection with, or evidenced by this Agreement and irrespective of whether for the payment of money, whether direct or indirect, absolute or contingent, due or to become due, now existing or hereafter arising, and including all interest not paid when due and all other expenses or other amounts that the Issuer is required to pay or reimburse by law or otherwise in connection with this Agreement. Any reference in this Agreement to the Obligations shall include all or any portion thereof and any extensions, modifications, renewals, or alterations thereof, both prior and subsequent to any bankruptcy, insolvency or other enforcement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means the U.S. Department of Treasury Office of Foreign Assets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Course of Business</w:t>
      </w:r>
      <w:r>
        <w:rPr>
          <w:rFonts w:ascii="Times New Roman;Times;Serif" w:hAnsi="Times New Roman;Times;Serif"/>
          <w:b w:val="false"/>
          <w:i w:val="false"/>
          <w:caps w:val="false"/>
          <w:smallCaps w:val="false"/>
          <w:sz w:val="20"/>
        </w:rPr>
        <w:t>” means, in respect of any action or omission taken or not taken by any Person, the ordinary course of such Person’s business, as conducted by such Person in good faith and may include past practice, industry standards or customs, requirements of law or as may otherwise be determined from time to time in good faith by the board of directors (or other governing body)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with respect to any Person other than a natural person, the documents by which such Person was organized (such as a certificate of incorporation, certificate of limited partnership or articles of formation or organization, and including, without limitation, any certificates of designation for preferred stock or other forms of preferred equity) and the documents which relate to the internal governance of such Person (such as by-laws, a partnership agreement or an operating, limited liability company or members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PBGC</w:t>
      </w:r>
      <w:r>
        <w:rPr>
          <w:rFonts w:ascii="Times New Roman;Times;Serif" w:hAnsi="Times New Roman;Times;Serif"/>
          <w:b w:val="false"/>
          <w:i w:val="false"/>
          <w:caps w:val="false"/>
          <w:smallCaps w:val="false"/>
          <w:sz w:val="20"/>
        </w:rPr>
        <w:t>” means the Pension Benefit Guaranty Corporation and any Person succeeding to any or all of its functions under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Pension Plan</w:t>
      </w:r>
      <w:r>
        <w:rPr>
          <w:rFonts w:ascii="Times New Roman;Times;Serif" w:hAnsi="Times New Roman;Times;Serif"/>
          <w:b w:val="false"/>
          <w:i w:val="false"/>
          <w:caps w:val="false"/>
          <w:smallCaps w:val="false"/>
          <w:sz w:val="20"/>
        </w:rPr>
        <w:t>” means any ERISA Plan that is subject to Section 412 of the Code or Title IV of ERISA to which the Issuer or any member of the Controlled Group may have a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 Share Purchase Price</w:t>
      </w:r>
      <w:r>
        <w:rPr>
          <w:rFonts w:ascii="Times New Roman;Times;Serif" w:hAnsi="Times New Roman;Times;Serif"/>
          <w:b w:val="false"/>
          <w:i w:val="false"/>
          <w:caps w:val="false"/>
          <w:smallCaps w:val="false"/>
          <w:sz w:val="20"/>
        </w:rPr>
        <w:t>” means $0.26.</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or a government or any department or agency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Contest</w:t>
      </w:r>
      <w:r>
        <w:rPr>
          <w:rFonts w:ascii="Times New Roman;Times;Serif" w:hAnsi="Times New Roman;Times;Serif"/>
          <w:b w:val="false"/>
          <w:i w:val="false"/>
          <w:caps w:val="false"/>
          <w:smallCaps w:val="false"/>
          <w:sz w:val="20"/>
        </w:rPr>
        <w:t xml:space="preserve">” means a contest maintained in good faith by appropriate proceedings promptly instituted and diligently conducted and with respect to which such reserve or other appropriate provision, if any, as shall be required in conformity with GAAP shall have been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compliance with the obligation that is the subject of such contest is effectively stayed during such challenge.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Preferred Stock Subscription Amount</w:t>
      </w:r>
      <w:r>
        <w:rPr>
          <w:rFonts w:ascii="Times New Roman;Times;Serif" w:hAnsi="Times New Roman;Times;Serif"/>
          <w:b w:val="false"/>
          <w:i w:val="false"/>
          <w:caps w:val="false"/>
          <w:smallCaps w:val="false"/>
          <w:sz w:val="20"/>
        </w:rPr>
        <w:t>” means the amount of Series C Convertible Preferred Stock to be purchased by the Purchaser, as provided under the heading “Preferred Stock Subscription Amount” on the Purchaser’s signature page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RCRA</w:t>
      </w:r>
      <w:r>
        <w:rPr>
          <w:rFonts w:ascii="Times New Roman;Times;Serif" w:hAnsi="Times New Roman;Times;Serif"/>
          <w:b w:val="false"/>
          <w:i w:val="false"/>
          <w:caps w:val="false"/>
          <w:smallCaps w:val="false"/>
          <w:sz w:val="20"/>
        </w:rPr>
        <w:t>” means the Resource Conservation and Recovery Act of 1976.</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Person</w:t>
      </w:r>
      <w:r>
        <w:rPr>
          <w:rFonts w:ascii="Times New Roman;Times;Serif" w:hAnsi="Times New Roman;Times;Serif"/>
          <w:b w:val="false"/>
          <w:i w:val="false"/>
          <w:caps w:val="false"/>
          <w:smallCaps w:val="false"/>
          <w:sz w:val="20"/>
        </w:rPr>
        <w:t>” means, collectively, director, officer, employee, manager, partner or equityholder, (or any of their respective immediate family members (as defined in 40 CFR § 170.305) or any affiliate or spouse of any such director, officer, employee, manager, partner, equityholder or immediate family member) of FF Global Partners LLC, FF Top Holding LLC, or any of their respective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8.16.</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3.20(a)</w:t>
      </w: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 Reports</w:t>
      </w:r>
      <w:r>
        <w:rPr>
          <w:rFonts w:ascii="Times New Roman;Times;Serif" w:hAnsi="Times New Roman;Times;Serif"/>
          <w:b w:val="false"/>
          <w:i w:val="false"/>
          <w:caps w:val="false"/>
          <w:smallCaps w:val="false"/>
          <w:sz w:val="20"/>
        </w:rPr>
        <w:t>” means all reports, schedules, forms, statements and other documents required to be filed by the Issuer under the Securities Act and the Exchange Act, including pursuant to Section 13(a) or 15(d) thereof, for the two years (or such shorter period as the Company was required by law or regulation to file such material) preceding the date hereof or the applicable Closing Date, as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Securities Act” </w:t>
      </w:r>
      <w:r>
        <w:rPr>
          <w:rFonts w:ascii="Times New Roman;Times;Serif" w:hAnsi="Times New Roman;Times;Serif"/>
          <w:b w:val="false"/>
          <w:i w:val="false"/>
          <w:caps w:val="false"/>
          <w:smallCaps w:val="false"/>
          <w:sz w:val="20"/>
        </w:rPr>
        <w:t>means the Securities Act of 1933, as amended, or any similar federal statute, and the rules and regulations thereunder as the same shall be in effect at the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Series C COD</w:t>
      </w:r>
      <w:r>
        <w:rPr>
          <w:rFonts w:ascii="Times New Roman;Times;Serif" w:hAnsi="Times New Roman;Times;Serif"/>
          <w:b w:val="false"/>
          <w:i w:val="false"/>
          <w:caps w:val="false"/>
          <w:smallCaps w:val="false"/>
          <w:sz w:val="20"/>
        </w:rPr>
        <w:t>” means the Certificate of Designation of Rights and Preferences of Series C Convertible Preferred Stock of the Company substantially in the form of Exhibit A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Series C Convertible Preferred Stock</w:t>
      </w:r>
      <w:r>
        <w:rPr>
          <w:rFonts w:ascii="Times New Roman;Times;Serif" w:hAnsi="Times New Roman;Times;Serif"/>
          <w:b w:val="false"/>
          <w:i w:val="false"/>
          <w:caps w:val="false"/>
          <w:smallCaps w:val="false"/>
          <w:sz w:val="20"/>
        </w:rPr>
        <w:t>” means Series C Convertible Preferred Stock of the Company, par value $0.0001 per share, issued or issuable pursuant to the Series C COD.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means collectively, the shares of Common Stock, the Warrant and the shares of Series C Convertible Preferred Stock to be purchased by the Purchaser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Securitization Transaction</w:t>
      </w:r>
      <w:r>
        <w:rPr>
          <w:rFonts w:ascii="Times New Roman;Times;Serif" w:hAnsi="Times New Roman;Times;Serif"/>
          <w:b w:val="false"/>
          <w:i w:val="false"/>
          <w:caps w:val="false"/>
          <w:smallCaps w:val="false"/>
          <w:sz w:val="20"/>
        </w:rPr>
        <w:t>” shall mean any financing or factoring or similar transaction (or series of such transactions) entered by the Issuer or any of its Subsidiaries pursuant to which the Issuer or any of its Subsidiary may sell, convey or otherwise transfer, or grant a security interest in, accounts, payments, receivables, rights to future lease payments or residuals or similar rights to payment to a special purpose subsidiary or affiliate or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means, collectively and as applicable, (i) the number of shares of Common Stock to be issued to the Purchaser; and (ii) the Underlying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Signing Date</w:t>
      </w:r>
      <w:r>
        <w:rPr>
          <w:rFonts w:ascii="Times New Roman;Times;Serif" w:hAnsi="Times New Roman;Times;Serif"/>
          <w:b w:val="false"/>
          <w:i w:val="false"/>
          <w:caps w:val="false"/>
          <w:smallCaps w:val="false"/>
          <w:sz w:val="20"/>
        </w:rPr>
        <w:t>” has the meaning set forth in the Preamble of this Agreement. “</w:t>
      </w:r>
      <w:r>
        <w:rPr>
          <w:rFonts w:ascii="Times New Roman;Times;Serif" w:hAnsi="Times New Roman;Times;Serif"/>
          <w:b/>
          <w:i w:val="false"/>
          <w:caps w:val="false"/>
          <w:smallCaps w:val="false"/>
          <w:sz w:val="20"/>
        </w:rPr>
        <w:t>Standard Settlement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Subscription Amount</w:t>
      </w:r>
      <w:r>
        <w:rPr>
          <w:rFonts w:ascii="Times New Roman;Times;Serif" w:hAnsi="Times New Roman;Times;Serif"/>
          <w:b w:val="false"/>
          <w:i w:val="false"/>
          <w:caps w:val="false"/>
          <w:smallCaps w:val="false"/>
          <w:sz w:val="20"/>
        </w:rPr>
        <w:t>” means, collectively, the Common Stock Subscription Amount and the Preferred Stock Subscription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other Person of which an aggregate of more than 50% of the outstanding Capital Stock having ordinary voting power to elect a majority of the board of directors (or other applicable governing body) of such other Person is at the time, directly or indirectly, owned legally or beneficially by such Person or one or more Subsidiaries of such Person, or a combination thereof, or with respect to which any such Person has the right to vote or designate the vote of more than 50% of such Capital Stock whether by proxy, agreement, operation of Law or otherwise. Unless the context otherwise requires, each reference to a Subsidiary shall mean a Subsidiary of the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Synthetic Lease</w:t>
      </w:r>
      <w:r>
        <w:rPr>
          <w:rFonts w:ascii="Times New Roman;Times;Serif" w:hAnsi="Times New Roman;Times;Serif"/>
          <w:b w:val="false"/>
          <w:i w:val="false"/>
          <w:caps w:val="false"/>
          <w:smallCaps w:val="false"/>
          <w:sz w:val="20"/>
        </w:rPr>
        <w:t>” shall mean a lease transaction under which the parties intend that (a) the lease will be treated as an “operating lease” by the lessee pursuant to Statement of Financial Accounting Standards No. 13, as amended and (b) the lessee will be entitled to various tax and other benefits ordinarily available to owners (as opposed to lessees) of like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on which the Common Stock is traded on Nasdaq.</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collectively, this Agreement, the Warrant, and the Series C COD.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Continental Stock Transfer &amp; Trust Issuer, the current transfer agent of the Issuer and any successor transfer agent of the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Underlying Shares</w:t>
      </w:r>
      <w:r>
        <w:rPr>
          <w:rFonts w:ascii="Times New Roman;Times;Serif" w:hAnsi="Times New Roman;Times;Serif"/>
          <w:b w:val="false"/>
          <w:i w:val="false"/>
          <w:caps w:val="false"/>
          <w:smallCaps w:val="false"/>
          <w:sz w:val="20"/>
        </w:rPr>
        <w:t>” means, collectively, the Warrant Shares and the Conversion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means the United States of America.</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xml:space="preserve">” means, a common stock purchase warrant to purchase 1,000,000 shares of Common Stock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or such other form as shall be agreed between the Issuer and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means the shares of Common Stock issuable upon exercise of the Warrant.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30" w:name="ex10-4.htm"/>
      <w:bookmarkStart w:id="31" w:name="ksex104"/>
      <w:bookmarkEnd w:id="30"/>
      <w:bookmarkEnd w:id="31"/>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LOAN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effective as of April 10, 2026, by and between:</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Gold King Arthur Holding Limited, </w:t>
            </w:r>
            <w:r>
              <w:rPr>
                <w:rFonts w:ascii="Times New Roman;Times;Serif" w:hAnsi="Times New Roman;Times;Serif"/>
                <w:b w:val="false"/>
                <w:i w:val="false"/>
                <w:caps w:val="false"/>
                <w:smallCaps w:val="false"/>
                <w:sz w:val="20"/>
              </w:rPr>
              <w:t>a limited liability company incorporated in Hong Kong, whose registered office is situated at H020 3/F Phase 2 Kwai Shing Ind Building 42-46 Tai Lin Pai Rd, Kwai Chung, Hong Kong (the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w:t>
            </w:r>
          </w:p>
        </w:tc>
      </w:tr>
    </w:tbl>
    <w:p>
      <w:pPr>
        <w:pStyle w:val="TextBody"/>
        <w:bidi w:val="0"/>
        <w:spacing w:before="0" w:after="0"/>
        <w:ind w:left="1441" w:right="0" w:hanging="63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Faraday Future Intelligent Electric Inc.</w:t>
            </w:r>
            <w:r>
              <w:rPr>
                <w:rFonts w:ascii="Times New Roman;Times;Serif" w:hAnsi="Times New Roman;Times;Serif"/>
                <w:b w:val="false"/>
                <w:i w:val="false"/>
                <w:caps w:val="false"/>
                <w:smallCaps w:val="false"/>
                <w:sz w:val="20"/>
              </w:rPr>
              <w:t>, a Delaware corporation, with its principal place of business at 1990 E. Grand Ave., El Segundo, CA 90245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and, collectively with the Lender,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tc>
      </w:tr>
    </w:tbl>
    <w:p>
      <w:pPr>
        <w:pStyle w:val="TextBody"/>
        <w:bidi w:val="0"/>
        <w:spacing w:before="0" w:after="0"/>
        <w:ind w:left="1441" w:right="0" w:hanging="63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mutual representations, warranties, covenants, agreements and conditions contained in this Agreement, and the other good and valuable consideration, the receipt and sufficiency of which are hereby acknowledged by the Parties, the Parties hereby agree as follows:</w:t>
      </w:r>
    </w:p>
    <w:p>
      <w:pPr>
        <w:pStyle w:val="TextBody"/>
        <w:bidi w:val="0"/>
        <w:spacing w:before="0" w:after="0"/>
        <w:ind w:left="0" w:right="0" w:firstLine="720"/>
        <w:jc w:val="both"/>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17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LOAN</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Subject to the terms and conditions of this Agreement, Lender agrees to lend to the Borrower an aggregate of US$2,000,000 (the “</w:t>
      </w:r>
      <w:r>
        <w:rPr>
          <w:rFonts w:ascii="Times New Roman;Times;Serif" w:hAnsi="Times New Roman;Times;Serif"/>
          <w:b/>
          <w:i w:val="false"/>
          <w:caps w:val="false"/>
          <w:smallCaps w:val="false"/>
          <w:sz w:val="20"/>
        </w:rPr>
        <w:t>Loan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83" w:type="dxa"/>
        <w:jc w:val="left"/>
        <w:tblInd w:w="0" w:type="dxa"/>
        <w:tblLayout w:type="fixed"/>
        <w:tblCellMar>
          <w:top w:w="0" w:type="dxa"/>
          <w:left w:w="0" w:type="dxa"/>
          <w:bottom w:w="0" w:type="dxa"/>
          <w:right w:w="0" w:type="dxa"/>
        </w:tblCellMar>
      </w:tblPr>
      <w:tblGrid>
        <w:gridCol w:w="38"/>
        <w:gridCol w:w="17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PURPOSE</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Loan funds shall be allocated for expenses associated with the Borrower’s robotics business, other business operations (including but not limited to payroll), and any additional unforeseen expenses that are directly related to these specified activities.</w:t>
      </w:r>
    </w:p>
    <w:p>
      <w:pPr>
        <w:pStyle w:val="TextBody"/>
        <w:bidi w:val="0"/>
        <w:spacing w:before="0" w:after="0"/>
        <w:ind w:left="0" w:right="0" w:firstLine="1440"/>
        <w:jc w:val="both"/>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ADVANCEMENT</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On or before April 10, 2026, the Lender shall initiate the wire transfer of the Loan (the “</w:t>
      </w:r>
      <w:r>
        <w:rPr>
          <w:rFonts w:ascii="Times New Roman;Times;Serif" w:hAnsi="Times New Roman;Times;Serif"/>
          <w:b/>
          <w:i w:val="false"/>
          <w:caps w:val="false"/>
          <w:smallCaps w:val="false"/>
          <w:sz w:val="20"/>
        </w:rPr>
        <w:t>Advancement Date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38"/>
        <w:gridCol w:w="170"/>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MATURITY</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The term of the Loan shall commence from the Advancement Date and end on the last date of a period of 1 year starting from the Advancement Date (the ending date is referred to herein as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17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SECURITY</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The Loan is and shall remain at all times the unsecured obligations of the Borrower.</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158" w:type="dxa"/>
        <w:jc w:val="left"/>
        <w:tblInd w:w="0" w:type="dxa"/>
        <w:tblLayout w:type="fixed"/>
        <w:tblCellMar>
          <w:top w:w="0" w:type="dxa"/>
          <w:left w:w="0" w:type="dxa"/>
          <w:bottom w:w="0" w:type="dxa"/>
          <w:right w:w="0" w:type="dxa"/>
        </w:tblCellMar>
      </w:tblPr>
      <w:tblGrid>
        <w:gridCol w:w="38"/>
        <w:gridCol w:w="17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INTEREST</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interest rate of the Loan is 10% per annum (with 365 days) of simple interest, calculated based on the actual principal amount in the Loan and the actual number of days as elapsed in the period from the Advancement Date to the date on which the aggregate outstanding principal amount of the Loan, together with accrued and unpaid interest thereon (the “</w:t>
      </w:r>
      <w:r>
        <w:rPr>
          <w:rFonts w:ascii="Times New Roman;Times;Serif" w:hAnsi="Times New Roman;Times;Serif"/>
          <w:b/>
          <w:i w:val="false"/>
          <w:caps w:val="false"/>
          <w:smallCaps w:val="false"/>
          <w:sz w:val="20"/>
        </w:rPr>
        <w:t>Total Accrued Loan Amount</w:t>
      </w:r>
      <w:r>
        <w:rPr>
          <w:rFonts w:ascii="Times New Roman;Times;Serif" w:hAnsi="Times New Roman;Times;Serif"/>
          <w:b w:val="false"/>
          <w:i w:val="false"/>
          <w:caps w:val="false"/>
          <w:smallCaps w:val="false"/>
          <w:sz w:val="20"/>
        </w:rPr>
        <w:t>”) are repaid.</w:t>
      </w:r>
    </w:p>
    <w:p>
      <w:pPr>
        <w:pStyle w:val="TextBody"/>
        <w:bidi w:val="0"/>
        <w:spacing w:before="0" w:after="0"/>
        <w:ind w:left="0" w:right="0" w:firstLine="2160"/>
        <w:jc w:val="both"/>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17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REPAYMENT AND PREPAYMENT</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Subject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Borrower shall repay the Total Accrued Loan Amount in full on or before the Maturity Date unless otherwise agreed by the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Notwithstanding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Borrower may prepay any or part of the Total Accrued Loan Amount at its sole discretion at any time prior to the Maturity Date, provided that the Lender receives a written notice at least five (5) business days in advance of such prepayment.</w:t>
      </w:r>
    </w:p>
    <w:p>
      <w:pPr>
        <w:pStyle w:val="TextBody"/>
        <w:bidi w:val="0"/>
        <w:spacing w:before="0" w:after="0"/>
        <w:ind w:left="0" w:right="0" w:firstLine="144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CONVERSION RIGHT</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Lender shall have the right, from time to time, to convert all or part of its Loan then outstanding, plus any accrued and unpaid interest, into the securities of the Borrower issuable pursuant to the terms of that certain Securities Purchase Agreement, dated as of February 5, 2026 (as amended, restated, amended and restated or otherwise modified from time to time, the “</w:t>
      </w:r>
      <w:r>
        <w:rPr>
          <w:rFonts w:ascii="Times New Roman;Times;Serif" w:hAnsi="Times New Roman;Times;Serif"/>
          <w:b/>
          <w:i w:val="false"/>
          <w:caps w:val="false"/>
          <w:smallCaps w:val="false"/>
          <w:sz w:val="20"/>
        </w:rPr>
        <w:t>SPA</w:t>
      </w:r>
      <w:r>
        <w:rPr>
          <w:rFonts w:ascii="Times New Roman;Times;Serif" w:hAnsi="Times New Roman;Times;Serif"/>
          <w:b w:val="false"/>
          <w:i w:val="false"/>
          <w:caps w:val="false"/>
          <w:smallCaps w:val="false"/>
          <w:sz w:val="20"/>
        </w:rPr>
        <w:t>”) between the Borrower and the Lender, with an aggregate value equal to the amount of the Loan to be converted (the “</w:t>
      </w:r>
      <w:r>
        <w:rPr>
          <w:rFonts w:ascii="Times New Roman;Times;Serif" w:hAnsi="Times New Roman;Times;Serif"/>
          <w:b/>
          <w:i w:val="false"/>
          <w:caps w:val="false"/>
          <w:smallCaps w:val="false"/>
          <w:sz w:val="20"/>
        </w:rPr>
        <w:t>Conversion Amount</w:t>
      </w:r>
      <w:r>
        <w:rPr>
          <w:rFonts w:ascii="Times New Roman;Times;Serif" w:hAnsi="Times New Roman;Times;Serif"/>
          <w:b w:val="false"/>
          <w:i w:val="false"/>
          <w:caps w:val="false"/>
          <w:smallCaps w:val="false"/>
          <w:sz w:val="20"/>
        </w:rPr>
        <w:t>”),. The Conversion Amount shall be treated as a portion of the Lender’s Subscription Amount (as defined in the SPA).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Any conversion notice pursuant to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be made in writing by Lender to Borrower, which notice may be made via email to Koti Meka, Chief Financial Officer, at </w:t>
      </w:r>
      <w:r>
        <w:rPr>
          <w:rFonts w:ascii="Times New Roman;Times;Serif" w:hAnsi="Times New Roman;Times;Serif"/>
          <w:b w:val="false"/>
          <w:i w:val="false"/>
          <w:caps w:val="false"/>
          <w:smallCaps w:val="false"/>
          <w:sz w:val="20"/>
          <w:u w:val="single"/>
        </w:rPr>
        <w:t>koti.meka@ff.com</w:t>
      </w:r>
      <w:r>
        <w:rPr>
          <w:rFonts w:ascii="Times New Roman;Times;Serif" w:hAnsi="Times New Roman;Times;Serif"/>
          <w:b w:val="false"/>
          <w:i w:val="false"/>
          <w:caps w:val="false"/>
          <w:smallCaps w:val="false"/>
          <w:sz w:val="20"/>
        </w:rPr>
        <w:t xml:space="preserve">, with a copy to Mark Sun, Acting Head of Global Capital Markets and Investor Relations, at </w:t>
      </w:r>
      <w:r>
        <w:rPr>
          <w:rFonts w:ascii="Times New Roman;Times;Serif" w:hAnsi="Times New Roman;Times;Serif"/>
          <w:b w:val="false"/>
          <w:i w:val="false"/>
          <w:caps w:val="false"/>
          <w:smallCaps w:val="false"/>
          <w:sz w:val="20"/>
          <w:u w:val="single"/>
        </w:rPr>
        <w:t>mark.sun@ff.com</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In no event shall any conversion of this Loan, whether in whole or in part, result in the Lender (together with the Lender’s affiliates, and any other persons acting as a group together with the Lender or any of the Lender’s affiliates (such persons,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beneficially owning in excess of the Beneficial Ownership Limitation (as defined below). For purposes of the foregoing sentence, the number of shares of Common Stock beneficially owned by the Lender and its affiliates and Attribution Parties shall include the number of shares of Common Stock issuable upon conversion of this Loan with respect to which such determination is being made, but shall exclude the number of shares of Common Stock which would be issuable upon (i) conversion of the remaining, unconverted principal amount of the Loan beneficially owned by the Lender or any of its affiliates or Attribution Parties and (ii) exercise or conversion of the unexercised or unconverted portion of any other securities of the Borrower subject to a limitation on conversion or exercise analogous to the limitation contained herein beneficially owned by the Lender or any of its affiliates or Attribution Parties. Except as set forth in the preceding sentence, for purposes of this Section 8.3, beneficial ownership shall be calculated in accordance with Section 13(d) of the Exchange Act and the rules and regulations promulgated thereunder. To the extent that the limitation contained in this Section 8.3 applies, the determination of whether the Loan is convertible (in relation to other securities owned by the Lender together with any affiliates and Attribution Parties) and of which principal amount of the Loan is convertible shall be in the reasonable discretion of the Lender. In addition, a determination as to any group status as contemplated above shall be determined in accordance with Section 13(d) of the Exchange Act and the rules and regulations promulgated thereunder. For purposes of this Section 8.3, in determining the number of outstanding shares of Common Stock, the Lender may rely on the number of outstanding shares of Common Stock as reflected in (A) the Borrower’s most recent periodic or annual report filed with the Securities and Exchange Commission, as the case may be, (B) a more recent public announcement by the Borrower, or (C) a more recent written notice by the Borrower or the Borrower’s transfer agent setting forth the number of shares of Common Stock outstanding. Upon the written or oral request of the Lender, the Borrower shall within two (2) trading days confirm orally and in writing to the Lender the number of shares of Common Stock then outstanding. In any case, the number of outstanding shares of Common Stock shall be determined after giving effect to the conversion or exercise of securities of the Borrower, including the portion of the Loan being converted, by the Lender or its affiliates since the date as of which such number of outstanding shares of Common Stock was reported. The “Beneficial Ownership Limitation” shall be 19.99% of the number of shares of the Common Stock outstanding immediately after giving effect to the issuance of shares of Common Stock issuable upon conversion of the Loan. The Lender, upon notice to the Borrower, may increase or decrease the Beneficial Ownership Limitation provisions of this Section 8.3; provided that the Beneficial Ownership Limitation in no event exceeds 19.99% of the number of shares of the Common Stock outstanding immediately after giving effect to the issuance of shares of Common Stock upon conversion of the Loan held by the Lender and the Beneficial Ownership Limitation provisions of this Section 8.3 shall continue to apply. Any increase in the Beneficial Ownership Limitation will not be effective until the 61st day after such notice is delivered to the Borrower. The Beneficial Ownership Limitation provisions of this paragraph shall be construed and implemented in a manner otherwise than in strict conformity with the terms of this Section 8.3 to correct this paragraph (or any portion hereof) which may be defective or inconsistent with the intended Beneficial Ownership Limitation contained herein or to make changes or supplements necessary or desirable to properly give effect to such limitation. The preceding limitations contained in this paragraph shall apply to a successor lender of the Loan.</w:t>
      </w:r>
    </w:p>
    <w:p>
      <w:pPr>
        <w:pStyle w:val="TextBody"/>
        <w:bidi w:val="0"/>
        <w:spacing w:before="0" w:after="0"/>
        <w:jc w:val="both"/>
        <w:rPr>
          <w:caps w:val="false"/>
          <w:smallCaps w:val="false"/>
        </w:rPr>
      </w:pPr>
      <w:r>
        <w:rPr>
          <w:caps w:val="false"/>
          <w:smallCaps w:val="false"/>
        </w:rPr>
        <w:t> </w:t>
      </w:r>
    </w:p>
    <w:tbl>
      <w:tblPr>
        <w:tblW w:w="1278" w:type="dxa"/>
        <w:jc w:val="left"/>
        <w:tblInd w:w="0" w:type="dxa"/>
        <w:tblLayout w:type="fixed"/>
        <w:tblCellMar>
          <w:top w:w="0" w:type="dxa"/>
          <w:left w:w="0" w:type="dxa"/>
          <w:bottom w:w="0" w:type="dxa"/>
          <w:right w:w="0" w:type="dxa"/>
        </w:tblCellMar>
      </w:tblPr>
      <w:tblGrid>
        <w:gridCol w:w="38"/>
        <w:gridCol w:w="17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PAYMENTS</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to be made by the Borrower to the Lender in respect of this Agreement shall be made in United States dollars and shall be made free and clear of, and without withholding or deduction for or on account of, any taxes, duties, assessments or governmental charges of whatever nature imposed, levied, collected, withheld or assessed by or within the United States, or any authority therein or thereof having power to tax or from which any payment is made with respect to this Agreement, unless such withholding or deduction is required by law. In the event that any such withholding or deduction in respect of such payment by the Borrower to the Lender is so required by law or by regulation or by governmental policy having the force of law, the Borrower shall pay such additional amounts as will result in receipt by the Lender of such amounts as would have been received by the Lender had no such withholding or deduction been required to be made. All payments to be made by the Borrower to the Lender in respect of this Agreement shall be made to such account with such bank as will be designated by the Lender from time to time.</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75"/>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3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REPRESENTATIONS AND WARRANTIES</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val="false"/>
          <w:caps w:val="false"/>
          <w:smallCaps w:val="false"/>
          <w:sz w:val="20"/>
          <w:u w:val="single"/>
        </w:rPr>
        <w:t>Representations and warranties of the Borrower.</w:t>
      </w:r>
      <w:r>
        <w:rPr>
          <w:rFonts w:ascii="Times New Roman;Times;Serif" w:hAnsi="Times New Roman;Times;Serif"/>
          <w:b w:val="false"/>
          <w:i w:val="false"/>
          <w:caps w:val="false"/>
          <w:smallCaps w:val="false"/>
          <w:sz w:val="20"/>
        </w:rPr>
        <w:t xml:space="preserve"> The Borrower represents and warrants to Lender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Due incorporation</w:t>
      </w:r>
      <w:r>
        <w:rPr>
          <w:rFonts w:ascii="Times New Roman;Times;Serif" w:hAnsi="Times New Roman;Times;Serif"/>
          <w:b w:val="false"/>
          <w:i w:val="false"/>
          <w:caps w:val="false"/>
          <w:smallCaps w:val="false"/>
          <w:sz w:val="20"/>
        </w:rPr>
        <w:t>: the Borrower is a company duly incorporated with limited liability and validly existing under the laws of the place of its incorporation, and is a separate legal entity capable of suing and being sued in its own name;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Capacity to enter into</w:t>
      </w:r>
      <w:r>
        <w:rPr>
          <w:rFonts w:ascii="Times New Roman;Times;Serif" w:hAnsi="Times New Roman;Times;Serif"/>
          <w:b w:val="false"/>
          <w:i w:val="false"/>
          <w:caps w:val="false"/>
          <w:smallCaps w:val="false"/>
          <w:sz w:val="20"/>
        </w:rPr>
        <w:t>: the Borrower has the full capacity and legal right to enter into and engage in the transactions contemplated by this Agreement and has taken or obtained all necessary action and consents to authorize the execution and performance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Binding obligations</w:t>
      </w:r>
      <w:r>
        <w:rPr>
          <w:rFonts w:ascii="Times New Roman;Times;Serif" w:hAnsi="Times New Roman;Times;Serif"/>
          <w:b w:val="false"/>
          <w:i w:val="false"/>
          <w:caps w:val="false"/>
          <w:smallCaps w:val="false"/>
          <w:sz w:val="20"/>
        </w:rPr>
        <w:t>: this Agreement constitutes, or when executed and delivered will constitute, legal, valid and binding obligations of the Borrower enforceable in accordance with the terms 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 with other obligations</w:t>
      </w:r>
      <w:r>
        <w:rPr>
          <w:rFonts w:ascii="Times New Roman;Times;Serif" w:hAnsi="Times New Roman;Times;Serif"/>
          <w:b w:val="false"/>
          <w:i w:val="false"/>
          <w:caps w:val="false"/>
          <w:smallCaps w:val="false"/>
          <w:sz w:val="20"/>
        </w:rPr>
        <w:t>: neither the execution of this Agreement nor the performance by the Borrower of any of its obligations or the exercise of any of its rights thereunder will conflict with or result in a breach of any law, agreement or obligation applicable to the Borrower or cause any limitation placed on it to be exceeded;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misleading information</w:t>
      </w:r>
      <w:r>
        <w:rPr>
          <w:rFonts w:ascii="Times New Roman;Times;Serif" w:hAnsi="Times New Roman;Times;Serif"/>
          <w:b w:val="false"/>
          <w:i w:val="false"/>
          <w:caps w:val="false"/>
          <w:smallCaps w:val="false"/>
          <w:sz w:val="20"/>
        </w:rPr>
        <w:t>: all information provided to Lender by or on behalf of the Borrower in connection with the Loan is true and accurate in all respects, and the Borrower is not aware of any fact which has not been disclosed in writing to Lender which might have a material effect on the Loan or which might affect the willingness of the Lender to lend upon the terms of this Agreement;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 an investment company</w:t>
      </w:r>
      <w:r>
        <w:rPr>
          <w:rFonts w:ascii="Times New Roman;Times;Serif" w:hAnsi="Times New Roman;Times;Serif"/>
          <w:b w:val="false"/>
          <w:i w:val="false"/>
          <w:caps w:val="false"/>
          <w:smallCaps w:val="false"/>
          <w:sz w:val="20"/>
        </w:rPr>
        <w:t>: the Borrower is not an “investment company” under the Investment Company Act of 1940, as amended, and is not a company “controlled” by an “investment company” under the Investment Company Act of 1940, as amended.</w:t>
      </w:r>
    </w:p>
    <w:p>
      <w:pPr>
        <w:pStyle w:val="TextBody"/>
        <w:bidi w:val="0"/>
        <w:spacing w:before="0" w:after="0"/>
        <w:ind w:left="0" w:right="0" w:firstLine="2160"/>
        <w:jc w:val="both"/>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275"/>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EVENTS OF DEFAULT</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Each of the following events and circumstances shall be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under this Agreement: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Insolvency proceedings and other procedures</w:t>
            </w:r>
            <w:r>
              <w:rPr>
                <w:rFonts w:ascii="Times New Roman;Times;Serif" w:hAnsi="Times New Roman;Times;Serif"/>
                <w:b w:val="false"/>
                <w:i w:val="false"/>
                <w:caps w:val="false"/>
                <w:smallCaps w:val="false"/>
                <w:sz w:val="20"/>
              </w:rPr>
              <w:t>: a proceeding is commenced or an effective order is made for the winding-up, insolvency, dissolution or bankruptcy of the Borrower or for the appointment of a liquidator, receiver, administrator, trustee or similar officer of the Borrower before due fulfillment and termination of this Agreement.</w:t>
            </w:r>
          </w:p>
        </w:tc>
      </w:tr>
    </w:tbl>
    <w:p>
      <w:pPr>
        <w:pStyle w:val="TextBody"/>
        <w:bidi w:val="0"/>
        <w:spacing w:before="0" w:after="0"/>
        <w:ind w:left="2343"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34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Breach of Loan purpose:</w:t>
            </w:r>
            <w:r>
              <w:rPr>
                <w:rFonts w:ascii="Times New Roman;Times;Serif" w:hAnsi="Times New Roman;Times;Serif"/>
                <w:b w:val="false"/>
                <w:i w:val="false"/>
                <w:caps w:val="false"/>
                <w:smallCaps w:val="false"/>
                <w:sz w:val="20"/>
              </w:rPr>
              <w:t xml:space="preserve"> Borrower applies, invests or in any way uses the Loan other than the purpose provided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which is not duly rectified as prescribed under </w:t>
            </w:r>
            <w:r>
              <w:rPr>
                <w:rFonts w:ascii="Times New Roman;Times;Serif" w:hAnsi="Times New Roman;Times;Serif"/>
                <w:b w:val="false"/>
                <w:i w:val="false"/>
                <w:caps w:val="false"/>
                <w:smallCaps w:val="false"/>
                <w:sz w:val="20"/>
                <w:u w:val="single"/>
              </w:rPr>
              <w:t>Section 11.2(b)</w:t>
            </w:r>
            <w:r>
              <w:rPr>
                <w:rFonts w:ascii="Times New Roman;Times;Serif" w:hAnsi="Times New Roman;Times;Serif"/>
                <w:b w:val="false"/>
                <w:i w:val="false"/>
                <w:caps w:val="false"/>
                <w:smallCaps w:val="false"/>
                <w:sz w:val="20"/>
              </w:rPr>
              <w:t>.</w:t>
            </w:r>
          </w:p>
        </w:tc>
      </w:tr>
    </w:tbl>
    <w:p>
      <w:pPr>
        <w:pStyle w:val="TextBody"/>
        <w:bidi w:val="0"/>
        <w:spacing w:before="0" w:after="0"/>
        <w:ind w:left="2343" w:right="0" w:hanging="360"/>
        <w:jc w:val="both"/>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23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Non-payment</w:t>
            </w:r>
            <w:r>
              <w:rPr>
                <w:rFonts w:ascii="Times New Roman;Times;Serif" w:hAnsi="Times New Roman;Times;Serif"/>
                <w:b w:val="false"/>
                <w:i w:val="false"/>
                <w:caps w:val="false"/>
                <w:smallCaps w:val="false"/>
                <w:sz w:val="20"/>
              </w:rPr>
              <w:t>: Borrower fails to repay the Total Accrued Loan Amount in full on or before the Maturity Date.</w:t>
            </w:r>
          </w:p>
        </w:tc>
      </w:tr>
    </w:tbl>
    <w:p>
      <w:pPr>
        <w:pStyle w:val="TextBody"/>
        <w:bidi w:val="0"/>
        <w:spacing w:before="0" w:after="0"/>
        <w:ind w:left="2343" w:right="0" w:hanging="360"/>
        <w:jc w:val="both"/>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245"/>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Invalidation of this Agreement</w:t>
            </w:r>
            <w:r>
              <w:rPr>
                <w:rFonts w:ascii="Times New Roman;Times;Serif" w:hAnsi="Times New Roman;Times;Serif"/>
                <w:b w:val="false"/>
                <w:i w:val="false"/>
                <w:caps w:val="false"/>
                <w:smallCaps w:val="false"/>
                <w:sz w:val="20"/>
              </w:rPr>
              <w:t>: including where –</w:t>
            </w:r>
          </w:p>
        </w:tc>
      </w:tr>
    </w:tbl>
    <w:p>
      <w:pPr>
        <w:pStyle w:val="TextBody"/>
        <w:bidi w:val="0"/>
        <w:spacing w:before="0" w:after="0"/>
        <w:ind w:left="2341" w:right="0" w:hanging="35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asserts or engages in any action or inaction based on which any material provision of this Agreement has ceased to be or otherwise is not valid, binding and enforceable in accordance with the terms and provisions hereof, which is not duly rectified as prescribed under </w:t>
            </w:r>
            <w:r>
              <w:rPr>
                <w:rFonts w:ascii="Times New Roman;Times;Serif" w:hAnsi="Times New Roman;Times;Serif"/>
                <w:b w:val="false"/>
                <w:i w:val="false"/>
                <w:caps w:val="false"/>
                <w:smallCaps w:val="false"/>
                <w:sz w:val="20"/>
                <w:u w:val="single"/>
              </w:rPr>
              <w:t>Section 11.2(b)</w:t>
            </w:r>
            <w:r>
              <w:rPr>
                <w:rFonts w:ascii="Times New Roman;Times;Serif" w:hAnsi="Times New Roman;Times;Serif"/>
                <w:b w:val="false"/>
                <w:i w:val="false"/>
                <w:caps w:val="false"/>
                <w:smallCaps w:val="false"/>
                <w:sz w:val="20"/>
              </w:rPr>
              <w:t>; and</w:t>
            </w:r>
          </w:p>
        </w:tc>
      </w:tr>
    </w:tbl>
    <w:p>
      <w:pPr>
        <w:pStyle w:val="TextBody"/>
        <w:bidi w:val="0"/>
        <w:spacing w:before="0" w:after="0"/>
        <w:ind w:left="3064" w:right="0" w:hanging="36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material provision in this Agreement for any reason attributable to the Borrower ceases to be valid, binding and enforceable in accordance with the terms and provisions thereof, which is not duly rectified as prescribed under </w:t>
            </w:r>
            <w:r>
              <w:rPr>
                <w:rFonts w:ascii="Times New Roman;Times;Serif" w:hAnsi="Times New Roman;Times;Serif"/>
                <w:b w:val="false"/>
                <w:i w:val="false"/>
                <w:caps w:val="false"/>
                <w:smallCaps w:val="false"/>
                <w:sz w:val="20"/>
                <w:u w:val="single"/>
              </w:rPr>
              <w:t>Section 11.2(b)</w:t>
            </w:r>
            <w:r>
              <w:rPr>
                <w:rFonts w:ascii="Times New Roman;Times;Serif" w:hAnsi="Times New Roman;Times;Serif"/>
                <w:b w:val="false"/>
                <w:i w:val="false"/>
                <w:caps w:val="false"/>
                <w:smallCaps w:val="false"/>
                <w:sz w:val="20"/>
              </w:rPr>
              <w:t>.</w:t>
            </w:r>
          </w:p>
        </w:tc>
      </w:tr>
    </w:tbl>
    <w:p>
      <w:pPr>
        <w:pStyle w:val="TextBody"/>
        <w:bidi w:val="0"/>
        <w:spacing w:before="0" w:after="0"/>
        <w:ind w:left="3064" w:right="0" w:hanging="361"/>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val="false"/>
          <w:i w:val="false"/>
          <w:caps w:val="false"/>
          <w:smallCaps w:val="false"/>
          <w:sz w:val="20"/>
          <w:u w:val="single"/>
        </w:rPr>
        <w:t>Remedies on Events of Default.</w:t>
      </w:r>
    </w:p>
    <w:p>
      <w:pPr>
        <w:pStyle w:val="TextBody"/>
        <w:bidi w:val="0"/>
        <w:spacing w:before="0" w:after="0"/>
        <w:ind w:left="2343" w:right="0" w:hanging="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Automatic acceleration without rectification requirement</w:t>
      </w:r>
      <w:r>
        <w:rPr>
          <w:rFonts w:ascii="Times New Roman;Times;Serif" w:hAnsi="Times New Roman;Times;Serif"/>
          <w:b w:val="false"/>
          <w:i w:val="false"/>
          <w:caps w:val="false"/>
          <w:smallCaps w:val="false"/>
          <w:sz w:val="20"/>
        </w:rPr>
        <w:t xml:space="preserve">. Upon occurrence of such Events of Default as provided in </w:t>
      </w:r>
      <w:r>
        <w:rPr>
          <w:rFonts w:ascii="Times New Roman;Times;Serif" w:hAnsi="Times New Roman;Times;Serif"/>
          <w:b w:val="false"/>
          <w:i w:val="false"/>
          <w:caps w:val="false"/>
          <w:smallCaps w:val="false"/>
          <w:sz w:val="20"/>
          <w:u w:val="single"/>
        </w:rPr>
        <w:t>Section 11.1(a)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11.1(c)</w:t>
      </w:r>
      <w:r>
        <w:rPr>
          <w:rFonts w:ascii="Times New Roman;Times;Serif" w:hAnsi="Times New Roman;Times;Serif"/>
          <w:b w:val="false"/>
          <w:i w:val="false"/>
          <w:caps w:val="false"/>
          <w:smallCaps w:val="false"/>
          <w:sz w:val="20"/>
        </w:rPr>
        <w:t>, the Total Accrued Loan Amount shall become automatically due and payable.</w:t>
      </w:r>
    </w:p>
    <w:p>
      <w:pPr>
        <w:pStyle w:val="TextBody"/>
        <w:bidi w:val="0"/>
        <w:spacing w:before="0" w:after="0"/>
        <w:ind w:left="0" w:right="0" w:firstLine="2160"/>
        <w:jc w:val="both"/>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245"/>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Acceleration upon unsatisfactory rectification</w:t>
            </w:r>
            <w:r>
              <w:rPr>
                <w:rFonts w:ascii="Times New Roman;Times;Serif" w:hAnsi="Times New Roman;Times;Serif"/>
                <w:b w:val="false"/>
                <w:i w:val="false"/>
                <w:caps w:val="false"/>
                <w:smallCaps w:val="false"/>
                <w:sz w:val="20"/>
              </w:rPr>
              <w:t>.</w:t>
            </w:r>
          </w:p>
        </w:tc>
      </w:tr>
    </w:tbl>
    <w:p>
      <w:pPr>
        <w:pStyle w:val="TextBody"/>
        <w:bidi w:val="0"/>
        <w:spacing w:before="0" w:after="0"/>
        <w:ind w:left="2881" w:right="0" w:hanging="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any facts or circumstances pertaining to those Events of Default as provided in </w:t>
      </w:r>
      <w:r>
        <w:rPr>
          <w:rFonts w:ascii="Times New Roman;Times;Serif" w:hAnsi="Times New Roman;Times;Serif"/>
          <w:b w:val="false"/>
          <w:i w:val="false"/>
          <w:caps w:val="false"/>
          <w:smallCaps w:val="false"/>
          <w:sz w:val="20"/>
          <w:u w:val="single"/>
        </w:rPr>
        <w:t>Section 11.1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11.1(d)</w:t>
      </w:r>
      <w:r>
        <w:rPr>
          <w:rFonts w:ascii="Times New Roman;Times;Serif" w:hAnsi="Times New Roman;Times;Serif"/>
          <w:b w:val="false"/>
          <w:i w:val="false"/>
          <w:caps w:val="false"/>
          <w:smallCaps w:val="false"/>
          <w:sz w:val="20"/>
        </w:rPr>
        <w:t xml:space="preserve"> happen, Lender may, by written notice to the Borrower (the “</w:t>
      </w:r>
      <w:r>
        <w:rPr>
          <w:rFonts w:ascii="Times New Roman;Times;Serif" w:hAnsi="Times New Roman;Times;Serif"/>
          <w:b/>
          <w:i w:val="false"/>
          <w:caps w:val="false"/>
          <w:smallCaps w:val="false"/>
          <w:sz w:val="20"/>
        </w:rPr>
        <w:t>Rectification Notice</w:t>
      </w:r>
      <w:r>
        <w:rPr>
          <w:rFonts w:ascii="Times New Roman;Times;Serif" w:hAnsi="Times New Roman;Times;Serif"/>
          <w:b w:val="false"/>
          <w:i w:val="false"/>
          <w:caps w:val="false"/>
          <w:smallCaps w:val="false"/>
          <w:sz w:val="20"/>
        </w:rPr>
        <w:t>”), demand the relevant recipient(s) to rectify in such manner prescribed in the Rectification Notice within five (5) business days after due receipt of the Rectification Notice (the “</w:t>
      </w:r>
      <w:r>
        <w:rPr>
          <w:rFonts w:ascii="Times New Roman;Times;Serif" w:hAnsi="Times New Roman;Times;Serif"/>
          <w:b/>
          <w:i w:val="false"/>
          <w:caps w:val="false"/>
          <w:smallCaps w:val="false"/>
          <w:sz w:val="20"/>
        </w:rPr>
        <w:t>Rectification Period</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After due receipt of the Rectification Notice, the recipient(s) thereof shall complete the rectification in such manner prescribed in the Rectification Notice within the Rectification Period to the reasonable satisfaction of Lender.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the aforementioned rectification is not completed upon expiration of the Rectification Period in accordance with this </w:t>
      </w:r>
      <w:r>
        <w:rPr>
          <w:rFonts w:ascii="Times New Roman;Times;Serif" w:hAnsi="Times New Roman;Times;Serif"/>
          <w:b w:val="false"/>
          <w:i w:val="false"/>
          <w:caps w:val="false"/>
          <w:smallCaps w:val="false"/>
          <w:sz w:val="20"/>
          <w:u w:val="single"/>
        </w:rPr>
        <w:t>Section 11.2(b)(ii)</w:t>
      </w:r>
      <w:r>
        <w:rPr>
          <w:rFonts w:ascii="Times New Roman;Times;Serif" w:hAnsi="Times New Roman;Times;Serif"/>
          <w:b w:val="false"/>
          <w:i w:val="false"/>
          <w:caps w:val="false"/>
          <w:smallCaps w:val="false"/>
          <w:sz w:val="20"/>
        </w:rPr>
        <w:t>, Lender may declare in writing the Total Accrued Loan Amount become immediately due and payable and demand full repayment of the Total Accrued Loan Amount.</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418" w:type="dxa"/>
        <w:jc w:val="left"/>
        <w:tblInd w:w="0" w:type="dxa"/>
        <w:tblLayout w:type="fixed"/>
        <w:tblCellMar>
          <w:top w:w="0" w:type="dxa"/>
          <w:left w:w="0" w:type="dxa"/>
          <w:bottom w:w="0" w:type="dxa"/>
          <w:right w:w="0" w:type="dxa"/>
        </w:tblCellMar>
      </w:tblPr>
      <w:tblGrid>
        <w:gridCol w:w="38"/>
        <w:gridCol w:w="275"/>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FURTHER ASSURANCE</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Each Party shall promptly execute and deliver all such documents, and do all such things, as the other Party may from time to time reasonably require for the purpose of giving full effect to the provisions of this Agreement and to secure for the other Party the full benefit of the rights, powers and remedies conferred upon it under this Agreement.</w:t>
      </w:r>
    </w:p>
    <w:p>
      <w:pPr>
        <w:pStyle w:val="TextBody"/>
        <w:bidi w:val="0"/>
        <w:spacing w:before="0" w:after="0"/>
        <w:ind w:left="0" w:right="0" w:firstLine="144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275"/>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DISCLOSURE OBLIGATIONS</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The Borrower shall bear full responsibility for ensuring compliance with all disclosure requirements as mandated by securities laws and any other relevant legislation.</w:t>
      </w:r>
    </w:p>
    <w:p>
      <w:pPr>
        <w:pStyle w:val="TextBody"/>
        <w:bidi w:val="0"/>
        <w:spacing w:before="0" w:after="0"/>
        <w:ind w:left="0" w:right="0" w:firstLine="1440"/>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75"/>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WAIVER AND AMENDMENT</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A failure or delay by a Party to exercise any right or remedy provided under this Agreement or by law, whether by conduct or otherwise, shall not constitute a waiver of that or any other right or remedy, nor shall it preclude or restrict any further exercise of that or any other right or remedy. No single or partial exercise of any right or remedy provided under this Agreement or by law, whether by conduct or otherwise, shall preclude or restrict the further exercise of that or any other right or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A waiver of any right or remedy under this Agreement shall only be effective if given in writing and shall not be deemed a waiver of any subsequent breach or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No variation or amendment of this Agreement shall be valid unless it is in writing and duly executed by or on behalf the Parties to this Agreement.</w:t>
      </w:r>
    </w:p>
    <w:p>
      <w:pPr>
        <w:pStyle w:val="TextBody"/>
        <w:bidi w:val="0"/>
        <w:spacing w:before="0" w:after="0"/>
        <w:ind w:left="0" w:right="0" w:firstLine="1440"/>
        <w:jc w:val="both"/>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275"/>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ASSIGNMENT</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may assign or transfer any of its rights, benefits or obligations under this Agreement without the prior consent of the other Party, which shall not be unreasonably withheld or delayed; provided, however, that in the event of an Event of Default, the Lender may assign or transfer any of its rights and benefits under this Agreement to any person without the consent of the Borrower.</w:t>
      </w:r>
    </w:p>
    <w:p>
      <w:pPr>
        <w:pStyle w:val="TextBody"/>
        <w:bidi w:val="0"/>
        <w:spacing w:before="0" w:after="0"/>
        <w:ind w:left="0" w:right="0" w:firstLine="720"/>
        <w:jc w:val="both"/>
        <w:rPr>
          <w:caps w:val="false"/>
          <w:smallCaps w:val="false"/>
        </w:rPr>
      </w:pPr>
      <w:r>
        <w:rPr>
          <w:caps w:val="false"/>
          <w:smallCaps w:val="false"/>
        </w:rPr>
        <w:t> </w:t>
      </w:r>
    </w:p>
    <w:tbl>
      <w:tblPr>
        <w:tblW w:w="948" w:type="dxa"/>
        <w:jc w:val="left"/>
        <w:tblInd w:w="0" w:type="dxa"/>
        <w:tblLayout w:type="fixed"/>
        <w:tblCellMar>
          <w:top w:w="0" w:type="dxa"/>
          <w:left w:w="0" w:type="dxa"/>
          <w:bottom w:w="0" w:type="dxa"/>
          <w:right w:w="0" w:type="dxa"/>
        </w:tblCellMar>
      </w:tblPr>
      <w:tblGrid>
        <w:gridCol w:w="38"/>
        <w:gridCol w:w="275"/>
        <w:gridCol w:w="6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COSTS</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reimburse the Lender on demand for all reasonable out-of-pocket costs, expenses and fees (including reasonable expenses and fees of its counsel) incurred by the Lender in connection with the transactions contemplated hereby, including the negotiation, documentation and execution of this Agreement and expenses of the Lender in connection with this Agreement and the enforcement of the Lender’s rights hereunder.</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275"/>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SEPARATION</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provision of this Agreement, or the application thereof, becomes or is declared by a court of competent jurisdiction to be illegal, void or unenforceable, the remainder of this Agreement shall continue in full force and effect and shall be interpreted so as reasonably to effect the intent of the Parties. The Parties further agree to use their commercially reasonable efforts to replace such void or unenforceable provision of this Agreement with a valid and enforceable provision that shall achieve, to the extent possible, the economic, business and other purposes of such void or unenforceable provision.</w:t>
      </w:r>
    </w:p>
    <w:p>
      <w:pPr>
        <w:pStyle w:val="TextBody"/>
        <w:bidi w:val="0"/>
        <w:spacing w:before="0" w:after="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275"/>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COUNTERPARTS</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and any Party may enter into this Agreement by executing and delivering a counterpart. Each counterpart constitutes the agreement of the Party who has executed and delivered that counterpart. Faxed or scanned signatures are taken to be valid and binding to the same extent as original signatures.</w:t>
      </w:r>
    </w:p>
    <w:p>
      <w:pPr>
        <w:pStyle w:val="TextBody"/>
        <w:bidi w:val="0"/>
        <w:spacing w:before="0" w:after="0"/>
        <w:ind w:left="0" w:right="0" w:firstLine="720"/>
        <w:jc w:val="both"/>
        <w:rPr>
          <w:caps w:val="false"/>
          <w:smallCaps w:val="false"/>
        </w:rPr>
      </w:pPr>
      <w:r>
        <w:rPr>
          <w:caps w:val="false"/>
          <w:smallCaps w:val="false"/>
        </w:rPr>
        <w:t> </w:t>
      </w:r>
    </w:p>
    <w:tbl>
      <w:tblPr>
        <w:tblW w:w="1158" w:type="dxa"/>
        <w:jc w:val="left"/>
        <w:tblInd w:w="0" w:type="dxa"/>
        <w:tblLayout w:type="fixed"/>
        <w:tblCellMar>
          <w:top w:w="0" w:type="dxa"/>
          <w:left w:w="0" w:type="dxa"/>
          <w:bottom w:w="0" w:type="dxa"/>
          <w:right w:w="0" w:type="dxa"/>
        </w:tblCellMar>
      </w:tblPr>
      <w:tblGrid>
        <w:gridCol w:w="38"/>
        <w:gridCol w:w="275"/>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NOTICES</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business day, (c) five (5) business 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the respective parties at their address as set forth on the signature page, or to such email address, facsimile number or address as subsequently modified by written notice given in accordance with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27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GOVERNING LAW AND JURISDICTION</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internal laws of the State of New York, irrespective of its conflicts of law principles, shall govern the validity of this Agreement, the construction of its terms, and the interpretation and enforcement of the rights and duties of the Parties. The Parties hereby irrevocably submit to the exclusive jurisdiction of the federal and state courts located within the State of New York solely in respect of the interpretation and enforcement of the provisions of this Agreement and of the documents referred to in this Agreement, and in respect of the transactions contemplated hereby and thereby, and hereby waive, and agree not to assert, as a defense in any action, suit or proceeding for the interpretation or enforcement hereof or thereof, that it is not subject thereto or that such action, suit or proceeding may not be brought or is not maintainable in said courts or that the venue thereof may not be appropriate or that this Agreement or any such document may not be enforced in or by such courts, and the Parties irrevocably agree that all claims with respect to such action or proceeding shall be heard and determined in such federal or state courts located within the State of New York. The Parties hereby consent to and grant any such court jurisdiction over the person of such Parties and over the subject matter of such dispute and agree that mailing of process or other papers in connection with any such action or proceeding in the manner provided in </w:t>
      </w:r>
      <w:r>
        <w:rPr>
          <w:rFonts w:ascii="Times New Roman;Times;Serif" w:hAnsi="Times New Roman;Times;Serif"/>
          <w:b w:val="false"/>
          <w:i w:val="false"/>
          <w:caps w:val="false"/>
          <w:smallCaps w:val="false"/>
          <w:sz w:val="20"/>
          <w:u w:val="single"/>
        </w:rPr>
        <w:t>Section 20</w:t>
      </w:r>
      <w:r>
        <w:rPr>
          <w:rFonts w:ascii="Times New Roman;Times;Serif" w:hAnsi="Times New Roman;Times;Serif"/>
          <w:b w:val="false"/>
          <w:i w:val="false"/>
          <w:caps w:val="false"/>
          <w:smallCaps w:val="false"/>
          <w:sz w:val="20"/>
        </w:rPr>
        <w:t xml:space="preserve"> or in such other manner as may be permitted by applicable law, shall be valid and sufficient service thereof. With respect to any particular action, suit or proceeding, venue shall lie solely in the State of New York.</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27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THIRD PARTY BENEFICIARIES</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Agreement, express or implied, is intended to confer upon any party other than the Parties or their respective successors and permitted assigns any rights, remedies, obligations or liabilities under or by reason of this Agreement of such provisions, all to the same extent as if such persons were parties to this Agreement.</w:t>
      </w:r>
    </w:p>
    <w:p>
      <w:pPr>
        <w:pStyle w:val="TextBody"/>
        <w:bidi w:val="0"/>
        <w:spacing w:before="0" w:after="0"/>
        <w:ind w:left="0" w:right="0" w:firstLine="720"/>
        <w:jc w:val="both"/>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275"/>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ENTIRE AGREEMENT</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full and entire understanding and agreement among the Parties with respect to the subject matter hereof, and any other written or oral agreement relating to the subject matter hereof existing between the Parties is expressly canceled.</w:t>
      </w:r>
    </w:p>
    <w:p>
      <w:pPr>
        <w:pStyle w:val="TextBody"/>
        <w:bidi w:val="0"/>
        <w:spacing w:before="0" w:after="0"/>
        <w:ind w:left="0" w:right="0" w:firstLine="72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275"/>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DISCLOSURE</w:t>
            </w:r>
          </w:p>
        </w:tc>
      </w:tr>
    </w:tbl>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represents and warrants to the Lender that, to its knowledge, immediately following the execution of this Agreement, all material non-public information regarding the Borrower or any of its subsidiaries that has been disclosed to the Lender by the Borrower on or prior to the date hereof has been disclosed in the Borrower’s public filings with the Securities and Exchange Commission on or prior to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64"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64"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1538"/>
        <w:gridCol w:w="7612"/>
      </w:tblGrid>
      <w:tr>
        <w:trPr/>
        <w:tc>
          <w:tcPr>
            <w:tcW w:w="1055" w:type="dxa"/>
            <w:tcBorders/>
            <w:vAlign w:val="center"/>
          </w:tcPr>
          <w:p>
            <w:pPr>
              <w:pStyle w:val="TableContents"/>
              <w:bidi w:val="0"/>
              <w:spacing w:before="0" w:after="283"/>
              <w:ind w:left="0" w:right="0" w:hanging="0"/>
              <w:jc w:val="both"/>
              <w:rPr>
                <w:rFonts w:ascii="Times New Roman;Times;Serif" w:hAnsi="Times New Roman;Times;Serif"/>
                <w:b/>
              </w:rPr>
            </w:pPr>
            <w:r>
              <w:rPr>
                <w:rFonts w:ascii="Times New Roman;Times;Serif" w:hAnsi="Times New Roman;Times;Serif"/>
                <w:b/>
              </w:rPr>
              <w:t>LENDER</w:t>
            </w:r>
          </w:p>
        </w:tc>
        <w:tc>
          <w:tcPr>
            <w:tcW w:w="1538" w:type="dxa"/>
            <w:tcBorders/>
            <w:vAlign w:val="center"/>
          </w:tcPr>
          <w:p>
            <w:pPr>
              <w:pStyle w:val="TableContents"/>
              <w:bidi w:val="0"/>
              <w:spacing w:before="0" w:after="283"/>
              <w:ind w:left="0" w:right="0" w:hanging="0"/>
              <w:jc w:val="left"/>
              <w:rPr/>
            </w:pPr>
            <w:r>
              <w:rPr/>
              <w:t> </w:t>
            </w:r>
          </w:p>
        </w:tc>
        <w:tc>
          <w:tcPr>
            <w:tcW w:w="7612" w:type="dxa"/>
            <w:tcBorders/>
            <w:vAlign w:val="center"/>
          </w:tcPr>
          <w:p>
            <w:pPr>
              <w:pStyle w:val="TableContents"/>
              <w:bidi w:val="0"/>
              <w:spacing w:before="0" w:after="283"/>
              <w:ind w:left="0" w:right="0" w:hanging="0"/>
              <w:jc w:val="both"/>
              <w:rPr/>
            </w:pPr>
            <w:r>
              <w:rPr/>
              <w:t> </w:t>
            </w:r>
          </w:p>
        </w:tc>
      </w:tr>
      <w:tr>
        <w:trPr/>
        <w:tc>
          <w:tcPr>
            <w:tcW w:w="1055" w:type="dxa"/>
            <w:tcBorders/>
            <w:vAlign w:val="center"/>
          </w:tcPr>
          <w:p>
            <w:pPr>
              <w:pStyle w:val="TableContents"/>
              <w:bidi w:val="0"/>
              <w:spacing w:before="0" w:after="283"/>
              <w:ind w:left="0" w:right="0" w:hanging="0"/>
              <w:jc w:val="both"/>
              <w:rPr/>
            </w:pPr>
            <w:r>
              <w:rPr/>
              <w:t> </w:t>
            </w:r>
          </w:p>
        </w:tc>
        <w:tc>
          <w:tcPr>
            <w:tcW w:w="1538" w:type="dxa"/>
            <w:tcBorders/>
            <w:vAlign w:val="center"/>
          </w:tcPr>
          <w:p>
            <w:pPr>
              <w:pStyle w:val="TableContents"/>
              <w:bidi w:val="0"/>
              <w:spacing w:before="0" w:after="283"/>
              <w:ind w:left="0" w:right="0" w:hanging="0"/>
              <w:jc w:val="left"/>
              <w:rPr/>
            </w:pPr>
            <w:r>
              <w:rPr/>
              <w:t> </w:t>
            </w:r>
          </w:p>
        </w:tc>
        <w:tc>
          <w:tcPr>
            <w:tcW w:w="7612" w:type="dxa"/>
            <w:tcBorders/>
            <w:vAlign w:val="center"/>
          </w:tcPr>
          <w:p>
            <w:pPr>
              <w:pStyle w:val="TableContents"/>
              <w:bidi w:val="0"/>
              <w:spacing w:before="0" w:after="283"/>
              <w:ind w:left="0" w:right="0" w:hanging="0"/>
              <w:jc w:val="both"/>
              <w:rPr/>
            </w:pPr>
            <w:r>
              <w:rPr/>
              <w:t> </w:t>
            </w:r>
          </w:p>
        </w:tc>
      </w:tr>
      <w:tr>
        <w:trPr/>
        <w:tc>
          <w:tcPr>
            <w:tcW w:w="1055" w:type="dxa"/>
            <w:tcBorders/>
            <w:vAlign w:val="center"/>
          </w:tcPr>
          <w:p>
            <w:pPr>
              <w:pStyle w:val="TableContents"/>
              <w:bidi w:val="0"/>
              <w:spacing w:before="0" w:after="283"/>
              <w:ind w:left="0" w:right="0" w:hanging="0"/>
              <w:jc w:val="both"/>
              <w:rPr/>
            </w:pPr>
            <w:r>
              <w:rPr/>
              <w:t> </w:t>
            </w:r>
          </w:p>
        </w:tc>
        <w:tc>
          <w:tcPr>
            <w:tcW w:w="9150" w:type="dxa"/>
            <w:gridSpan w:val="2"/>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GOLD KING ARTHUR HOLDING LIMITED</w:t>
            </w:r>
          </w:p>
        </w:tc>
      </w:tr>
      <w:tr>
        <w:trPr/>
        <w:tc>
          <w:tcPr>
            <w:tcW w:w="1055" w:type="dxa"/>
            <w:tcBorders/>
            <w:vAlign w:val="center"/>
          </w:tcPr>
          <w:p>
            <w:pPr>
              <w:pStyle w:val="TableContents"/>
              <w:bidi w:val="0"/>
              <w:spacing w:before="0" w:after="283"/>
              <w:ind w:left="0" w:right="0" w:hanging="0"/>
              <w:jc w:val="both"/>
              <w:rPr/>
            </w:pPr>
            <w:r>
              <w:rPr/>
              <w:t> </w:t>
            </w:r>
          </w:p>
        </w:tc>
        <w:tc>
          <w:tcPr>
            <w:tcW w:w="1538" w:type="dxa"/>
            <w:tcBorders/>
            <w:vAlign w:val="center"/>
          </w:tcPr>
          <w:p>
            <w:pPr>
              <w:pStyle w:val="TableContents"/>
              <w:bidi w:val="0"/>
              <w:spacing w:before="0" w:after="283"/>
              <w:ind w:left="0" w:right="0" w:hanging="0"/>
              <w:jc w:val="left"/>
              <w:rPr/>
            </w:pPr>
            <w:r>
              <w:rPr/>
              <w:t> </w:t>
            </w:r>
          </w:p>
        </w:tc>
        <w:tc>
          <w:tcPr>
            <w:tcW w:w="7612" w:type="dxa"/>
            <w:tcBorders/>
            <w:vAlign w:val="center"/>
          </w:tcPr>
          <w:p>
            <w:pPr>
              <w:pStyle w:val="TableContents"/>
              <w:bidi w:val="0"/>
              <w:spacing w:before="0" w:after="283"/>
              <w:ind w:left="0" w:right="0" w:hanging="0"/>
              <w:jc w:val="both"/>
              <w:rPr/>
            </w:pPr>
            <w:r>
              <w:rPr/>
              <w:t>                                                          </w:t>
            </w:r>
          </w:p>
        </w:tc>
      </w:tr>
      <w:tr>
        <w:trPr/>
        <w:tc>
          <w:tcPr>
            <w:tcW w:w="1055" w:type="dxa"/>
            <w:tcBorders/>
            <w:vAlign w:val="center"/>
          </w:tcPr>
          <w:p>
            <w:pPr>
              <w:pStyle w:val="TableContents"/>
              <w:bidi w:val="0"/>
              <w:spacing w:before="0" w:after="283"/>
              <w:ind w:left="0" w:right="0" w:hanging="0"/>
              <w:jc w:val="both"/>
              <w:rPr/>
            </w:pPr>
            <w:r>
              <w:rPr/>
              <w:t> </w:t>
            </w:r>
          </w:p>
        </w:tc>
        <w:tc>
          <w:tcPr>
            <w:tcW w:w="1538"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7612" w:type="dxa"/>
            <w:tcBorders>
              <w:bottom w:val="single" w:sz="8" w:space="0" w:color="000000"/>
            </w:tcBorders>
            <w:tcMar>
              <w:bottom w:w="28" w:type="dxa"/>
            </w:tcMar>
            <w:vAlign w:val="center"/>
          </w:tcPr>
          <w:p>
            <w:pPr>
              <w:pStyle w:val="TableContents"/>
              <w:bidi w:val="0"/>
              <w:spacing w:before="0" w:after="283"/>
              <w:ind w:left="0" w:right="0" w:hanging="0"/>
              <w:jc w:val="both"/>
              <w:rPr>
                <w:rFonts w:ascii="Times New Roman;Times;Serif" w:hAnsi="Times New Roman;Times;Serif"/>
              </w:rPr>
            </w:pPr>
            <w:r>
              <w:rPr>
                <w:rFonts w:ascii="Times New Roman;Times;Serif" w:hAnsi="Times New Roman;Times;Serif"/>
              </w:rPr>
              <w:t>/s/ Shawn Wang</w:t>
            </w:r>
          </w:p>
        </w:tc>
      </w:tr>
      <w:tr>
        <w:trPr/>
        <w:tc>
          <w:tcPr>
            <w:tcW w:w="1055" w:type="dxa"/>
            <w:tcBorders/>
            <w:vAlign w:val="center"/>
          </w:tcPr>
          <w:p>
            <w:pPr>
              <w:pStyle w:val="TableContents"/>
              <w:bidi w:val="0"/>
              <w:spacing w:before="0" w:after="283"/>
              <w:ind w:left="0" w:right="0" w:hanging="0"/>
              <w:jc w:val="both"/>
              <w:rPr/>
            </w:pPr>
            <w:r>
              <w:rPr/>
              <w:t> </w:t>
            </w:r>
          </w:p>
        </w:tc>
        <w:tc>
          <w:tcPr>
            <w:tcW w:w="1538"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Name: </w:t>
            </w:r>
          </w:p>
        </w:tc>
        <w:tc>
          <w:tcPr>
            <w:tcW w:w="7612" w:type="dxa"/>
            <w:tcBorders/>
            <w:vAlign w:val="center"/>
          </w:tcPr>
          <w:p>
            <w:pPr>
              <w:pStyle w:val="TableContents"/>
              <w:bidi w:val="0"/>
              <w:spacing w:before="0" w:after="283"/>
              <w:ind w:left="0" w:right="0" w:hanging="0"/>
              <w:jc w:val="both"/>
              <w:rPr>
                <w:rFonts w:ascii="Times New Roman;Times;Serif" w:hAnsi="Times New Roman;Times;Serif"/>
              </w:rPr>
            </w:pPr>
            <w:r>
              <w:rPr>
                <w:rFonts w:ascii="Times New Roman;Times;Serif" w:hAnsi="Times New Roman;Times;Serif"/>
              </w:rPr>
              <w:t>Song Wang</w:t>
            </w:r>
          </w:p>
        </w:tc>
      </w:tr>
      <w:tr>
        <w:trPr/>
        <w:tc>
          <w:tcPr>
            <w:tcW w:w="1055" w:type="dxa"/>
            <w:tcBorders/>
            <w:vAlign w:val="center"/>
          </w:tcPr>
          <w:p>
            <w:pPr>
              <w:pStyle w:val="TableContents"/>
              <w:bidi w:val="0"/>
              <w:spacing w:before="0" w:after="283"/>
              <w:ind w:left="0" w:right="0" w:hanging="0"/>
              <w:jc w:val="both"/>
              <w:rPr/>
            </w:pPr>
            <w:r>
              <w:rPr/>
              <w:t> </w:t>
            </w:r>
          </w:p>
        </w:tc>
        <w:tc>
          <w:tcPr>
            <w:tcW w:w="1538"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7612" w:type="dxa"/>
            <w:tcBorders/>
            <w:vAlign w:val="center"/>
          </w:tcPr>
          <w:p>
            <w:pPr>
              <w:pStyle w:val="TableContents"/>
              <w:bidi w:val="0"/>
              <w:spacing w:before="0" w:after="283"/>
              <w:ind w:left="0" w:right="0" w:hanging="0"/>
              <w:jc w:val="both"/>
              <w:rPr>
                <w:rFonts w:ascii="Times New Roman;Times;Serif" w:hAnsi="Times New Roman;Times;Serif"/>
              </w:rPr>
            </w:pPr>
            <w:r>
              <w:rPr>
                <w:rFonts w:ascii="Times New Roman;Times;Serif" w:hAnsi="Times New Roman;Times;Serif"/>
              </w:rPr>
              <w:t>Director</w:t>
            </w:r>
          </w:p>
        </w:tc>
      </w:tr>
      <w:tr>
        <w:trPr/>
        <w:tc>
          <w:tcPr>
            <w:tcW w:w="1055" w:type="dxa"/>
            <w:tcBorders/>
            <w:vAlign w:val="center"/>
          </w:tcPr>
          <w:p>
            <w:pPr>
              <w:pStyle w:val="TableContents"/>
              <w:bidi w:val="0"/>
              <w:spacing w:before="0" w:after="283"/>
              <w:ind w:left="0" w:right="0" w:hanging="0"/>
              <w:jc w:val="both"/>
              <w:rPr/>
            </w:pPr>
            <w:r>
              <w:rPr/>
              <w:t> </w:t>
            </w:r>
          </w:p>
        </w:tc>
        <w:tc>
          <w:tcPr>
            <w:tcW w:w="1538" w:type="dxa"/>
            <w:tcBorders/>
            <w:vAlign w:val="center"/>
          </w:tcPr>
          <w:p>
            <w:pPr>
              <w:pStyle w:val="TableContents"/>
              <w:bidi w:val="0"/>
              <w:spacing w:before="0" w:after="283"/>
              <w:ind w:left="0" w:right="0" w:hanging="0"/>
              <w:jc w:val="left"/>
              <w:rPr/>
            </w:pPr>
            <w:r>
              <w:rPr/>
              <w:t> </w:t>
            </w:r>
          </w:p>
        </w:tc>
        <w:tc>
          <w:tcPr>
            <w:tcW w:w="7612" w:type="dxa"/>
            <w:tcBorders/>
            <w:vAlign w:val="center"/>
          </w:tcPr>
          <w:p>
            <w:pPr>
              <w:pStyle w:val="TableContents"/>
              <w:bidi w:val="0"/>
              <w:spacing w:before="0" w:after="283"/>
              <w:ind w:left="0" w:right="0" w:hanging="0"/>
              <w:jc w:val="both"/>
              <w:rPr/>
            </w:pPr>
            <w:r>
              <w:rPr/>
              <w:t> </w:t>
            </w:r>
          </w:p>
        </w:tc>
      </w:tr>
      <w:tr>
        <w:trPr/>
        <w:tc>
          <w:tcPr>
            <w:tcW w:w="1055" w:type="dxa"/>
            <w:tcBorders/>
            <w:vAlign w:val="center"/>
          </w:tcPr>
          <w:p>
            <w:pPr>
              <w:pStyle w:val="TableContents"/>
              <w:bidi w:val="0"/>
              <w:spacing w:before="0" w:after="283"/>
              <w:ind w:left="0" w:right="0" w:hanging="0"/>
              <w:jc w:val="both"/>
              <w:rPr/>
            </w:pPr>
            <w:r>
              <w:rPr/>
              <w:t> </w:t>
            </w:r>
          </w:p>
        </w:tc>
        <w:tc>
          <w:tcPr>
            <w:tcW w:w="9150" w:type="dxa"/>
            <w:gridSpan w:val="2"/>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Address: H020 3/F Phase 2 Kwai Shing Ind Building 42-46 Tai Lin Pai Rd, Kwai Chung, Hong Kong</w:t>
            </w:r>
          </w:p>
        </w:tc>
      </w:tr>
      <w:tr>
        <w:trPr/>
        <w:tc>
          <w:tcPr>
            <w:tcW w:w="1055" w:type="dxa"/>
            <w:tcBorders/>
            <w:vAlign w:val="center"/>
          </w:tcPr>
          <w:p>
            <w:pPr>
              <w:pStyle w:val="TableContents"/>
              <w:bidi w:val="0"/>
              <w:spacing w:before="0" w:after="283"/>
              <w:ind w:left="0" w:right="0" w:hanging="0"/>
              <w:jc w:val="both"/>
              <w:rPr/>
            </w:pPr>
            <w:r>
              <w:rPr/>
              <w:t> </w:t>
            </w:r>
          </w:p>
        </w:tc>
        <w:tc>
          <w:tcPr>
            <w:tcW w:w="9150" w:type="dxa"/>
            <w:gridSpan w:val="2"/>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Attention: Song Wang</w:t>
            </w:r>
          </w:p>
        </w:tc>
      </w:tr>
      <w:tr>
        <w:trPr/>
        <w:tc>
          <w:tcPr>
            <w:tcW w:w="1055" w:type="dxa"/>
            <w:tcBorders/>
            <w:vAlign w:val="center"/>
          </w:tcPr>
          <w:p>
            <w:pPr>
              <w:pStyle w:val="TableContents"/>
              <w:bidi w:val="0"/>
              <w:spacing w:before="0" w:after="283"/>
              <w:ind w:left="0" w:right="0" w:hanging="0"/>
              <w:jc w:val="both"/>
              <w:rPr/>
            </w:pPr>
            <w:r>
              <w:rPr/>
              <w:t> </w:t>
            </w:r>
          </w:p>
        </w:tc>
        <w:tc>
          <w:tcPr>
            <w:tcW w:w="915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 shawn.wang830927@gmail.com</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7209" w:type="dxa"/>
        <w:jc w:val="left"/>
        <w:tblInd w:w="0" w:type="dxa"/>
        <w:tblLayout w:type="fixed"/>
        <w:tblCellMar>
          <w:top w:w="0" w:type="dxa"/>
          <w:left w:w="0" w:type="dxa"/>
          <w:bottom w:w="0" w:type="dxa"/>
          <w:right w:w="0" w:type="dxa"/>
        </w:tblCellMar>
      </w:tblPr>
      <w:tblGrid>
        <w:gridCol w:w="1190"/>
        <w:gridCol w:w="1463"/>
        <w:gridCol w:w="4556"/>
      </w:tblGrid>
      <w:tr>
        <w:trPr/>
        <w:tc>
          <w:tcPr>
            <w:tcW w:w="1190" w:type="dxa"/>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BORROWER</w:t>
            </w:r>
          </w:p>
        </w:tc>
        <w:tc>
          <w:tcPr>
            <w:tcW w:w="1463" w:type="dxa"/>
            <w:tcBorders/>
            <w:vAlign w:val="center"/>
          </w:tcPr>
          <w:p>
            <w:pPr>
              <w:pStyle w:val="TableContents"/>
              <w:bidi w:val="0"/>
              <w:spacing w:before="0" w:after="283"/>
              <w:ind w:left="0" w:right="0" w:hanging="0"/>
              <w:jc w:val="left"/>
              <w:rPr/>
            </w:pPr>
            <w:r>
              <w:rPr/>
              <w:t> </w:t>
            </w:r>
          </w:p>
        </w:tc>
        <w:tc>
          <w:tcPr>
            <w:tcW w:w="4556" w:type="dxa"/>
            <w:tcBorders/>
            <w:vAlign w:val="center"/>
          </w:tcPr>
          <w:p>
            <w:pPr>
              <w:pStyle w:val="TableContents"/>
              <w:bidi w:val="0"/>
              <w:spacing w:before="0" w:after="283"/>
              <w:ind w:left="0" w:right="0" w:hanging="0"/>
              <w:jc w:val="both"/>
              <w:rPr/>
            </w:pPr>
            <w:r>
              <w:rPr/>
              <w:t> </w:t>
            </w:r>
          </w:p>
        </w:tc>
      </w:tr>
      <w:tr>
        <w:trPr/>
        <w:tc>
          <w:tcPr>
            <w:tcW w:w="1190" w:type="dxa"/>
            <w:tcBorders/>
            <w:vAlign w:val="center"/>
          </w:tcPr>
          <w:p>
            <w:pPr>
              <w:pStyle w:val="TableContents"/>
              <w:bidi w:val="0"/>
              <w:spacing w:before="0" w:after="283"/>
              <w:ind w:left="0" w:right="0" w:hanging="0"/>
              <w:jc w:val="both"/>
              <w:rPr/>
            </w:pPr>
            <w:r>
              <w:rPr/>
              <w:t> </w:t>
            </w:r>
          </w:p>
        </w:tc>
        <w:tc>
          <w:tcPr>
            <w:tcW w:w="1463" w:type="dxa"/>
            <w:tcBorders/>
            <w:vAlign w:val="center"/>
          </w:tcPr>
          <w:p>
            <w:pPr>
              <w:pStyle w:val="TableContents"/>
              <w:bidi w:val="0"/>
              <w:spacing w:before="0" w:after="283"/>
              <w:ind w:left="0" w:right="0" w:hanging="0"/>
              <w:jc w:val="left"/>
              <w:rPr/>
            </w:pPr>
            <w:r>
              <w:rPr/>
              <w:t> </w:t>
            </w:r>
          </w:p>
        </w:tc>
        <w:tc>
          <w:tcPr>
            <w:tcW w:w="4556" w:type="dxa"/>
            <w:tcBorders/>
            <w:vAlign w:val="center"/>
          </w:tcPr>
          <w:p>
            <w:pPr>
              <w:pStyle w:val="TableContents"/>
              <w:bidi w:val="0"/>
              <w:spacing w:before="0" w:after="283"/>
              <w:ind w:left="0" w:right="0" w:hanging="0"/>
              <w:jc w:val="both"/>
              <w:rPr/>
            </w:pPr>
            <w:r>
              <w:rPr/>
              <w:t> </w:t>
            </w:r>
          </w:p>
        </w:tc>
      </w:tr>
      <w:tr>
        <w:trPr/>
        <w:tc>
          <w:tcPr>
            <w:tcW w:w="1190" w:type="dxa"/>
            <w:tcBorders/>
            <w:vAlign w:val="center"/>
          </w:tcPr>
          <w:p>
            <w:pPr>
              <w:pStyle w:val="TableContents"/>
              <w:bidi w:val="0"/>
              <w:spacing w:before="0" w:after="283"/>
              <w:ind w:left="0" w:right="0" w:hanging="0"/>
              <w:jc w:val="both"/>
              <w:rPr/>
            </w:pPr>
            <w:r>
              <w:rPr/>
              <w:t> </w:t>
            </w:r>
          </w:p>
        </w:tc>
        <w:tc>
          <w:tcPr>
            <w:tcW w:w="6019" w:type="dxa"/>
            <w:gridSpan w:val="2"/>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FARADAY FUTURE INTELLIGENT ELECTRIC INC.</w:t>
            </w:r>
          </w:p>
        </w:tc>
      </w:tr>
      <w:tr>
        <w:trPr/>
        <w:tc>
          <w:tcPr>
            <w:tcW w:w="1190" w:type="dxa"/>
            <w:tcBorders/>
            <w:vAlign w:val="center"/>
          </w:tcPr>
          <w:p>
            <w:pPr>
              <w:pStyle w:val="TableContents"/>
              <w:bidi w:val="0"/>
              <w:spacing w:before="0" w:after="283"/>
              <w:ind w:left="0" w:right="0" w:hanging="0"/>
              <w:jc w:val="both"/>
              <w:rPr/>
            </w:pPr>
            <w:r>
              <w:rPr/>
              <w:t> </w:t>
            </w:r>
          </w:p>
        </w:tc>
        <w:tc>
          <w:tcPr>
            <w:tcW w:w="1463" w:type="dxa"/>
            <w:tcBorders/>
            <w:vAlign w:val="center"/>
          </w:tcPr>
          <w:p>
            <w:pPr>
              <w:pStyle w:val="TableContents"/>
              <w:bidi w:val="0"/>
              <w:spacing w:before="0" w:after="283"/>
              <w:ind w:left="0" w:right="0" w:hanging="0"/>
              <w:jc w:val="left"/>
              <w:rPr/>
            </w:pPr>
            <w:r>
              <w:rPr/>
              <w:t> </w:t>
            </w:r>
          </w:p>
        </w:tc>
        <w:tc>
          <w:tcPr>
            <w:tcW w:w="4556" w:type="dxa"/>
            <w:tcBorders/>
            <w:vAlign w:val="center"/>
          </w:tcPr>
          <w:p>
            <w:pPr>
              <w:pStyle w:val="TableContents"/>
              <w:bidi w:val="0"/>
              <w:spacing w:before="0" w:after="283"/>
              <w:ind w:left="0" w:right="0" w:hanging="0"/>
              <w:jc w:val="both"/>
              <w:rPr/>
            </w:pPr>
            <w:r>
              <w:rPr/>
              <w:t>                              </w:t>
            </w:r>
          </w:p>
        </w:tc>
      </w:tr>
      <w:tr>
        <w:trPr/>
        <w:tc>
          <w:tcPr>
            <w:tcW w:w="1190" w:type="dxa"/>
            <w:tcBorders/>
            <w:vAlign w:val="center"/>
          </w:tcPr>
          <w:p>
            <w:pPr>
              <w:pStyle w:val="TableContents"/>
              <w:bidi w:val="0"/>
              <w:spacing w:before="0" w:after="283"/>
              <w:ind w:left="0" w:right="0" w:hanging="0"/>
              <w:jc w:val="both"/>
              <w:rPr/>
            </w:pPr>
            <w:r>
              <w:rPr/>
              <w:t> </w:t>
            </w:r>
          </w:p>
        </w:tc>
        <w:tc>
          <w:tcPr>
            <w:tcW w:w="146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4556" w:type="dxa"/>
            <w:tcBorders>
              <w:bottom w:val="single" w:sz="8" w:space="0" w:color="000000"/>
            </w:tcBorders>
            <w:tcMar>
              <w:bottom w:w="28" w:type="dxa"/>
            </w:tcMar>
            <w:vAlign w:val="center"/>
          </w:tcPr>
          <w:p>
            <w:pPr>
              <w:pStyle w:val="TableContents"/>
              <w:bidi w:val="0"/>
              <w:spacing w:before="0" w:after="283"/>
              <w:ind w:left="0" w:right="0" w:hanging="0"/>
              <w:jc w:val="both"/>
              <w:rPr/>
            </w:pPr>
            <w:r>
              <w:rPr/>
              <w:t xml:space="preserve">/s/ </w:t>
            </w:r>
            <w:r>
              <w:rPr>
                <w:rFonts w:ascii="Times New Roman;Times;Serif" w:hAnsi="Times New Roman;Times;Serif"/>
              </w:rPr>
              <w:t>Koti Meka</w:t>
            </w:r>
          </w:p>
        </w:tc>
      </w:tr>
      <w:tr>
        <w:trPr/>
        <w:tc>
          <w:tcPr>
            <w:tcW w:w="1190" w:type="dxa"/>
            <w:tcBorders/>
            <w:vAlign w:val="center"/>
          </w:tcPr>
          <w:p>
            <w:pPr>
              <w:pStyle w:val="TableContents"/>
              <w:bidi w:val="0"/>
              <w:spacing w:before="0" w:after="283"/>
              <w:ind w:left="0" w:right="0" w:hanging="0"/>
              <w:jc w:val="both"/>
              <w:rPr/>
            </w:pPr>
            <w:r>
              <w:rPr/>
              <w:t> </w:t>
            </w:r>
          </w:p>
        </w:tc>
        <w:tc>
          <w:tcPr>
            <w:tcW w:w="1463"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Name: </w:t>
            </w:r>
          </w:p>
        </w:tc>
        <w:tc>
          <w:tcPr>
            <w:tcW w:w="4556" w:type="dxa"/>
            <w:tcBorders/>
            <w:vAlign w:val="center"/>
          </w:tcPr>
          <w:p>
            <w:pPr>
              <w:pStyle w:val="TableContents"/>
              <w:bidi w:val="0"/>
              <w:spacing w:before="0" w:after="283"/>
              <w:ind w:left="0" w:right="0" w:hanging="0"/>
              <w:jc w:val="both"/>
              <w:rPr>
                <w:rFonts w:ascii="Times New Roman;Times;Serif" w:hAnsi="Times New Roman;Times;Serif"/>
              </w:rPr>
            </w:pPr>
            <w:r>
              <w:rPr>
                <w:rFonts w:ascii="Times New Roman;Times;Serif" w:hAnsi="Times New Roman;Times;Serif"/>
              </w:rPr>
              <w:t>Koti Meka</w:t>
            </w:r>
          </w:p>
        </w:tc>
      </w:tr>
      <w:tr>
        <w:trPr/>
        <w:tc>
          <w:tcPr>
            <w:tcW w:w="1190" w:type="dxa"/>
            <w:tcBorders/>
            <w:vAlign w:val="center"/>
          </w:tcPr>
          <w:p>
            <w:pPr>
              <w:pStyle w:val="TableContents"/>
              <w:bidi w:val="0"/>
              <w:spacing w:before="0" w:after="283"/>
              <w:ind w:left="0" w:right="0" w:hanging="0"/>
              <w:jc w:val="both"/>
              <w:rPr/>
            </w:pPr>
            <w:r>
              <w:rPr/>
              <w:t> </w:t>
            </w:r>
          </w:p>
        </w:tc>
        <w:tc>
          <w:tcPr>
            <w:tcW w:w="1463"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Title:</w:t>
            </w:r>
          </w:p>
        </w:tc>
        <w:tc>
          <w:tcPr>
            <w:tcW w:w="4556" w:type="dxa"/>
            <w:tcBorders/>
            <w:vAlign w:val="center"/>
          </w:tcPr>
          <w:p>
            <w:pPr>
              <w:pStyle w:val="TableContents"/>
              <w:bidi w:val="0"/>
              <w:spacing w:before="0" w:after="283"/>
              <w:ind w:left="0" w:right="0" w:hanging="0"/>
              <w:jc w:val="both"/>
              <w:rPr>
                <w:rFonts w:ascii="Times New Roman;Times;Serif" w:hAnsi="Times New Roman;Times;Serif"/>
              </w:rPr>
            </w:pPr>
            <w:r>
              <w:rPr>
                <w:rFonts w:ascii="Times New Roman;Times;Serif" w:hAnsi="Times New Roman;Times;Serif"/>
              </w:rPr>
              <w:t>Chief Financial Officer</w:t>
            </w:r>
          </w:p>
        </w:tc>
      </w:tr>
      <w:tr>
        <w:trPr/>
        <w:tc>
          <w:tcPr>
            <w:tcW w:w="1190" w:type="dxa"/>
            <w:tcBorders/>
            <w:vAlign w:val="center"/>
          </w:tcPr>
          <w:p>
            <w:pPr>
              <w:pStyle w:val="TableContents"/>
              <w:bidi w:val="0"/>
              <w:spacing w:before="0" w:after="283"/>
              <w:ind w:left="0" w:right="0" w:hanging="0"/>
              <w:jc w:val="both"/>
              <w:rPr/>
            </w:pPr>
            <w:r>
              <w:rPr/>
              <w:t> </w:t>
            </w:r>
          </w:p>
        </w:tc>
        <w:tc>
          <w:tcPr>
            <w:tcW w:w="1463" w:type="dxa"/>
            <w:tcBorders/>
            <w:vAlign w:val="center"/>
          </w:tcPr>
          <w:p>
            <w:pPr>
              <w:pStyle w:val="TableContents"/>
              <w:bidi w:val="0"/>
              <w:spacing w:before="0" w:after="283"/>
              <w:ind w:left="0" w:right="0" w:hanging="0"/>
              <w:jc w:val="left"/>
              <w:rPr/>
            </w:pPr>
            <w:r>
              <w:rPr/>
              <w:t> </w:t>
            </w:r>
          </w:p>
        </w:tc>
        <w:tc>
          <w:tcPr>
            <w:tcW w:w="4556" w:type="dxa"/>
            <w:tcBorders/>
            <w:vAlign w:val="center"/>
          </w:tcPr>
          <w:p>
            <w:pPr>
              <w:pStyle w:val="TableContents"/>
              <w:bidi w:val="0"/>
              <w:spacing w:before="0" w:after="283"/>
              <w:ind w:left="0" w:right="0" w:hanging="0"/>
              <w:jc w:val="both"/>
              <w:rPr/>
            </w:pPr>
            <w:r>
              <w:rPr/>
              <w:t> </w:t>
            </w:r>
          </w:p>
        </w:tc>
      </w:tr>
      <w:tr>
        <w:trPr/>
        <w:tc>
          <w:tcPr>
            <w:tcW w:w="1190" w:type="dxa"/>
            <w:tcBorders/>
            <w:vAlign w:val="center"/>
          </w:tcPr>
          <w:p>
            <w:pPr>
              <w:pStyle w:val="TableContents"/>
              <w:bidi w:val="0"/>
              <w:spacing w:before="0" w:after="283"/>
              <w:ind w:left="0" w:right="0" w:hanging="0"/>
              <w:jc w:val="both"/>
              <w:rPr/>
            </w:pPr>
            <w:r>
              <w:rPr/>
              <w:t> </w:t>
            </w:r>
          </w:p>
        </w:tc>
        <w:tc>
          <w:tcPr>
            <w:tcW w:w="6019" w:type="dxa"/>
            <w:gridSpan w:val="2"/>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Address: 1990 E Grand Ave, El Segundo, CA, 90245</w:t>
            </w:r>
          </w:p>
        </w:tc>
      </w:tr>
      <w:tr>
        <w:trPr/>
        <w:tc>
          <w:tcPr>
            <w:tcW w:w="1190" w:type="dxa"/>
            <w:tcBorders/>
            <w:vAlign w:val="center"/>
          </w:tcPr>
          <w:p>
            <w:pPr>
              <w:pStyle w:val="TableContents"/>
              <w:bidi w:val="0"/>
              <w:spacing w:before="0" w:after="283"/>
              <w:ind w:left="0" w:right="0" w:hanging="0"/>
              <w:jc w:val="both"/>
              <w:rPr/>
            </w:pPr>
            <w:r>
              <w:rPr/>
              <w:t> </w:t>
            </w:r>
          </w:p>
        </w:tc>
        <w:tc>
          <w:tcPr>
            <w:tcW w:w="6019" w:type="dxa"/>
            <w:gridSpan w:val="2"/>
            <w:tcBorders/>
            <w:vAlign w:val="center"/>
          </w:tcPr>
          <w:p>
            <w:pPr>
              <w:pStyle w:val="TableContents"/>
              <w:bidi w:val="0"/>
              <w:jc w:val="left"/>
              <w:rPr>
                <w:rFonts w:ascii="Times New Roman;Times;Serif" w:hAnsi="Times New Roman;Times;Serif"/>
              </w:rPr>
            </w:pPr>
            <w:r>
              <w:rPr>
                <w:rFonts w:ascii="Times New Roman;Times;Serif" w:hAnsi="Times New Roman;Times;Serif"/>
              </w:rPr>
              <w:t>Attention: Koti Meka</w:t>
            </w:r>
          </w:p>
          <w:p>
            <w:pPr>
              <w:pStyle w:val="TableContents"/>
              <w:bidi w:val="0"/>
              <w:spacing w:before="0" w:after="283"/>
              <w:jc w:val="left"/>
              <w:rPr>
                <w:rFonts w:ascii="Times New Roman;Times;Serif" w:hAnsi="Times New Roman;Times;Serif"/>
              </w:rPr>
            </w:pPr>
            <w:r>
              <w:rPr>
                <w:rFonts w:ascii="Times New Roman;Times;Serif" w:hAnsi="Times New Roman;Times;Serif"/>
              </w:rPr>
              <w:t>Email: koti.meka@ff.com</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34685</Words>
  <Characters>182646</Characters>
  <CharactersWithSpaces>217489</CharactersWithSpaces>
  <Paragraphs>1806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