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17, 2026.</w:t>
      </w:r>
    </w:p>
    <w:p>
      <w:pPr>
        <w:spacing w:after="0" w:line="2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71335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213360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AIxCrypto Holdings,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5960" w:type="dxa"/>
            <w:vAlign w:val="bottom"/>
          </w:tcPr>
          <w:p>
            <w:pPr>
              <w:jc w:val="center"/>
              <w:ind w:right="37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8"/>
              </w:rPr>
              <w:t>26-3474527</w:t>
            </w:r>
          </w:p>
        </w:tc>
      </w:tr>
      <w:tr>
        <w:trPr>
          <w:trHeight w:val="214"/>
        </w:trPr>
        <w:tc>
          <w:tcPr>
            <w:tcW w:w="5960" w:type="dxa"/>
            <w:vAlign w:val="bottom"/>
          </w:tcPr>
          <w:p>
            <w:pPr>
              <w:jc w:val="center"/>
              <w:ind w:right="3791"/>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3"/>
        </w:trPr>
        <w:tc>
          <w:tcPr>
            <w:tcW w:w="5960" w:type="dxa"/>
            <w:vAlign w:val="bottom"/>
          </w:tcPr>
          <w:p>
            <w:pPr>
              <w:jc w:val="center"/>
              <w:ind w:right="3731"/>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15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05"/>
        </w:trPr>
        <w:tc>
          <w:tcPr>
            <w:tcW w:w="5960" w:type="dxa"/>
            <w:vAlign w:val="bottom"/>
          </w:tcPr>
          <w:p>
            <w:pPr>
              <w:jc w:val="center"/>
              <w:ind w:left="1811"/>
              <w:spacing w:after="0"/>
              <w:rPr>
                <w:sz w:val="20"/>
                <w:szCs w:val="20"/>
                <w:color w:val="auto"/>
              </w:rPr>
            </w:pPr>
            <w:r>
              <w:rPr>
                <w:rFonts w:ascii="Times New Roman" w:cs="Times New Roman" w:eastAsia="Times New Roman" w:hAnsi="Times New Roman"/>
                <w:sz w:val="18"/>
                <w:szCs w:val="18"/>
                <w:b w:val="1"/>
                <w:bCs w:val="1"/>
                <w:color w:val="auto"/>
                <w:w w:val="98"/>
              </w:rPr>
              <w:t>AIxCrypto Holdings, Inc.</w:t>
            </w:r>
          </w:p>
        </w:tc>
        <w:tc>
          <w:tcPr>
            <w:tcW w:w="1500" w:type="dxa"/>
            <w:vAlign w:val="bottom"/>
          </w:tcPr>
          <w:p>
            <w:pPr>
              <w:spacing w:after="0"/>
              <w:rPr>
                <w:sz w:val="24"/>
                <w:szCs w:val="24"/>
                <w:color w:val="auto"/>
              </w:rPr>
            </w:pPr>
          </w:p>
        </w:tc>
      </w:tr>
      <w:tr>
        <w:trPr>
          <w:trHeight w:val="214"/>
        </w:trPr>
        <w:tc>
          <w:tcPr>
            <w:tcW w:w="5960" w:type="dxa"/>
            <w:vAlign w:val="bottom"/>
          </w:tcPr>
          <w:p>
            <w:pPr>
              <w:jc w:val="center"/>
              <w:ind w:left="1791"/>
              <w:spacing w:after="0"/>
              <w:rPr>
                <w:sz w:val="20"/>
                <w:szCs w:val="20"/>
                <w:color w:val="auto"/>
              </w:rPr>
            </w:pPr>
            <w:r>
              <w:rPr>
                <w:rFonts w:ascii="Times New Roman" w:cs="Times New Roman" w:eastAsia="Times New Roman" w:hAnsi="Times New Roman"/>
                <w:sz w:val="18"/>
                <w:szCs w:val="18"/>
                <w:b w:val="1"/>
                <w:bCs w:val="1"/>
                <w:color w:val="auto"/>
                <w:w w:val="98"/>
              </w:rPr>
              <w:t>1990 E. Grand Avenue</w:t>
            </w:r>
          </w:p>
        </w:tc>
        <w:tc>
          <w:tcPr>
            <w:tcW w:w="1500" w:type="dxa"/>
            <w:vAlign w:val="bottom"/>
          </w:tcPr>
          <w:p>
            <w:pPr>
              <w:spacing w:after="0"/>
              <w:rPr>
                <w:sz w:val="18"/>
                <w:szCs w:val="18"/>
                <w:color w:val="auto"/>
              </w:rPr>
            </w:pPr>
          </w:p>
        </w:tc>
      </w:tr>
      <w:tr>
        <w:trPr>
          <w:trHeight w:val="214"/>
        </w:trPr>
        <w:tc>
          <w:tcPr>
            <w:tcW w:w="5960" w:type="dxa"/>
            <w:vAlign w:val="bottom"/>
          </w:tcPr>
          <w:p>
            <w:pPr>
              <w:jc w:val="center"/>
              <w:ind w:left="1811"/>
              <w:spacing w:after="0"/>
              <w:rPr>
                <w:sz w:val="20"/>
                <w:szCs w:val="20"/>
                <w:color w:val="auto"/>
              </w:rPr>
            </w:pPr>
            <w:r>
              <w:rPr>
                <w:rFonts w:ascii="Times New Roman" w:cs="Times New Roman" w:eastAsia="Times New Roman" w:hAnsi="Times New Roman"/>
                <w:sz w:val="18"/>
                <w:szCs w:val="18"/>
                <w:b w:val="1"/>
                <w:bCs w:val="1"/>
                <w:color w:val="auto"/>
                <w:w w:val="98"/>
              </w:rPr>
              <w:t>El Segundo, CA 90245</w:t>
            </w:r>
          </w:p>
        </w:tc>
        <w:tc>
          <w:tcPr>
            <w:tcW w:w="1500" w:type="dxa"/>
            <w:vAlign w:val="bottom"/>
          </w:tcPr>
          <w:p>
            <w:pPr>
              <w:spacing w:after="0"/>
              <w:rPr>
                <w:sz w:val="18"/>
                <w:szCs w:val="18"/>
                <w:color w:val="auto"/>
              </w:rPr>
            </w:pPr>
          </w:p>
        </w:tc>
      </w:tr>
      <w:tr>
        <w:trPr>
          <w:trHeight w:val="218"/>
        </w:trPr>
        <w:tc>
          <w:tcPr>
            <w:tcW w:w="5960" w:type="dxa"/>
            <w:vAlign w:val="bottom"/>
          </w:tcPr>
          <w:p>
            <w:pPr>
              <w:jc w:val="center"/>
              <w:ind w:left="1811"/>
              <w:spacing w:after="0"/>
              <w:rPr>
                <w:sz w:val="20"/>
                <w:szCs w:val="20"/>
                <w:color w:val="auto"/>
              </w:rPr>
            </w:pPr>
            <w:r>
              <w:rPr>
                <w:rFonts w:ascii="Times New Roman" w:cs="Times New Roman" w:eastAsia="Times New Roman" w:hAnsi="Times New Roman"/>
                <w:sz w:val="18"/>
                <w:szCs w:val="18"/>
                <w:b w:val="1"/>
                <w:bCs w:val="1"/>
                <w:color w:val="auto"/>
                <w:w w:val="97"/>
              </w:rPr>
              <w:t>(760) 452-8111</w:t>
            </w:r>
          </w:p>
        </w:tc>
        <w:tc>
          <w:tcPr>
            <w:tcW w:w="1500" w:type="dxa"/>
            <w:vAlign w:val="bottom"/>
          </w:tcPr>
          <w:p>
            <w:pPr>
              <w:spacing w:after="0"/>
              <w:rPr>
                <w:sz w:val="18"/>
                <w:szCs w:val="18"/>
                <w:color w:val="auto"/>
              </w:rPr>
            </w:pPr>
          </w:p>
        </w:tc>
      </w:tr>
      <w:tr>
        <w:trPr>
          <w:trHeight w:val="233"/>
        </w:trPr>
        <w:tc>
          <w:tcPr>
            <w:tcW w:w="5960" w:type="dxa"/>
            <w:vAlign w:val="bottom"/>
          </w:tcPr>
          <w:p>
            <w:pPr>
              <w:jc w:val="center"/>
              <w:ind w:left="1811"/>
              <w:spacing w:after="0"/>
              <w:rPr>
                <w:sz w:val="20"/>
                <w:szCs w:val="20"/>
                <w:color w:val="auto"/>
              </w:rPr>
            </w:pPr>
            <w:r>
              <w:rPr>
                <w:rFonts w:ascii="Times New Roman" w:cs="Times New Roman" w:eastAsia="Times New Roman" w:hAnsi="Times New Roman"/>
                <w:sz w:val="18"/>
                <w:szCs w:val="18"/>
                <w:color w:val="auto"/>
                <w:w w:val="98"/>
              </w:rPr>
              <w:t>(Address of Principal Executive Offices) (Zip Code)</w:t>
            </w:r>
          </w:p>
        </w:tc>
        <w:tc>
          <w:tcPr>
            <w:tcW w:w="1500" w:type="dxa"/>
            <w:vAlign w:val="bottom"/>
          </w:tcPr>
          <w:p>
            <w:pPr>
              <w:spacing w:after="0"/>
              <w:rPr>
                <w:sz w:val="20"/>
                <w:szCs w:val="20"/>
                <w:color w:val="auto"/>
              </w:rPr>
            </w:pPr>
          </w:p>
        </w:tc>
      </w:tr>
      <w:tr>
        <w:trPr>
          <w:trHeight w:val="409"/>
        </w:trPr>
        <w:tc>
          <w:tcPr>
            <w:tcW w:w="5960" w:type="dxa"/>
            <w:vAlign w:val="bottom"/>
          </w:tcPr>
          <w:p>
            <w:pPr>
              <w:jc w:val="center"/>
              <w:ind w:left="1791"/>
              <w:spacing w:after="0"/>
              <w:rPr>
                <w:sz w:val="20"/>
                <w:szCs w:val="20"/>
                <w:color w:val="auto"/>
              </w:rPr>
            </w:pPr>
            <w:r>
              <w:rPr>
                <w:rFonts w:ascii="Times New Roman" w:cs="Times New Roman" w:eastAsia="Times New Roman" w:hAnsi="Times New Roman"/>
                <w:sz w:val="18"/>
                <w:szCs w:val="18"/>
                <w:b w:val="1"/>
                <w:bCs w:val="1"/>
                <w:color w:val="auto"/>
                <w:w w:val="98"/>
              </w:rPr>
              <w:t>2025 EQUITY INCENTIVE PLAN</w:t>
            </w:r>
          </w:p>
        </w:tc>
        <w:tc>
          <w:tcPr>
            <w:tcW w:w="1500" w:type="dxa"/>
            <w:vAlign w:val="bottom"/>
          </w:tcPr>
          <w:p>
            <w:pPr>
              <w:spacing w:after="0"/>
              <w:rPr>
                <w:sz w:val="24"/>
                <w:szCs w:val="24"/>
                <w:color w:val="auto"/>
              </w:rPr>
            </w:pPr>
          </w:p>
        </w:tc>
      </w:tr>
      <w:tr>
        <w:trPr>
          <w:trHeight w:val="233"/>
        </w:trPr>
        <w:tc>
          <w:tcPr>
            <w:tcW w:w="5960" w:type="dxa"/>
            <w:vAlign w:val="bottom"/>
          </w:tcPr>
          <w:p>
            <w:pPr>
              <w:jc w:val="center"/>
              <w:ind w:left="1811"/>
              <w:spacing w:after="0"/>
              <w:rPr>
                <w:sz w:val="20"/>
                <w:szCs w:val="20"/>
                <w:color w:val="auto"/>
              </w:rPr>
            </w:pPr>
            <w:r>
              <w:rPr>
                <w:rFonts w:ascii="Times New Roman" w:cs="Times New Roman" w:eastAsia="Times New Roman" w:hAnsi="Times New Roman"/>
                <w:sz w:val="18"/>
                <w:szCs w:val="18"/>
                <w:color w:val="auto"/>
                <w:w w:val="99"/>
              </w:rPr>
              <w:t>(Full title of the plan)</w:t>
            </w:r>
          </w:p>
        </w:tc>
        <w:tc>
          <w:tcPr>
            <w:tcW w:w="1500" w:type="dxa"/>
            <w:vAlign w:val="bottom"/>
          </w:tcPr>
          <w:p>
            <w:pPr>
              <w:spacing w:after="0"/>
              <w:rPr>
                <w:sz w:val="20"/>
                <w:szCs w:val="20"/>
                <w:color w:val="auto"/>
              </w:rPr>
            </w:pPr>
          </w:p>
        </w:tc>
      </w:tr>
      <w:tr>
        <w:trPr>
          <w:trHeight w:val="405"/>
        </w:trPr>
        <w:tc>
          <w:tcPr>
            <w:tcW w:w="5960" w:type="dxa"/>
            <w:vAlign w:val="bottom"/>
          </w:tcPr>
          <w:p>
            <w:pPr>
              <w:jc w:val="center"/>
              <w:ind w:left="1791"/>
              <w:spacing w:after="0"/>
              <w:rPr>
                <w:sz w:val="20"/>
                <w:szCs w:val="20"/>
                <w:color w:val="auto"/>
              </w:rPr>
            </w:pPr>
            <w:r>
              <w:rPr>
                <w:rFonts w:ascii="Times New Roman" w:cs="Times New Roman" w:eastAsia="Times New Roman" w:hAnsi="Times New Roman"/>
                <w:sz w:val="18"/>
                <w:szCs w:val="18"/>
                <w:b w:val="1"/>
                <w:bCs w:val="1"/>
                <w:color w:val="auto"/>
                <w:w w:val="97"/>
              </w:rPr>
              <w:t>Kevin A. Richardson II</w:t>
            </w:r>
          </w:p>
        </w:tc>
        <w:tc>
          <w:tcPr>
            <w:tcW w:w="1500" w:type="dxa"/>
            <w:vAlign w:val="bottom"/>
          </w:tcPr>
          <w:p>
            <w:pPr>
              <w:spacing w:after="0"/>
              <w:rPr>
                <w:sz w:val="24"/>
                <w:szCs w:val="24"/>
                <w:color w:val="auto"/>
              </w:rPr>
            </w:pPr>
          </w:p>
        </w:tc>
      </w:tr>
      <w:tr>
        <w:trPr>
          <w:trHeight w:val="214"/>
        </w:trPr>
        <w:tc>
          <w:tcPr>
            <w:tcW w:w="5960" w:type="dxa"/>
            <w:vAlign w:val="bottom"/>
          </w:tcPr>
          <w:p>
            <w:pPr>
              <w:jc w:val="center"/>
              <w:ind w:left="1791"/>
              <w:spacing w:after="0"/>
              <w:rPr>
                <w:sz w:val="20"/>
                <w:szCs w:val="20"/>
                <w:color w:val="auto"/>
              </w:rPr>
            </w:pPr>
            <w:r>
              <w:rPr>
                <w:rFonts w:ascii="Times New Roman" w:cs="Times New Roman" w:eastAsia="Times New Roman" w:hAnsi="Times New Roman"/>
                <w:sz w:val="18"/>
                <w:szCs w:val="18"/>
                <w:b w:val="1"/>
                <w:bCs w:val="1"/>
                <w:color w:val="auto"/>
                <w:w w:val="96"/>
              </w:rPr>
              <w:t>Jiawei Wang</w:t>
            </w:r>
          </w:p>
        </w:tc>
        <w:tc>
          <w:tcPr>
            <w:tcW w:w="1500" w:type="dxa"/>
            <w:vAlign w:val="bottom"/>
          </w:tcPr>
          <w:p>
            <w:pPr>
              <w:spacing w:after="0"/>
              <w:rPr>
                <w:sz w:val="18"/>
                <w:szCs w:val="18"/>
                <w:color w:val="auto"/>
              </w:rPr>
            </w:pPr>
          </w:p>
        </w:tc>
      </w:tr>
      <w:tr>
        <w:trPr>
          <w:trHeight w:val="214"/>
        </w:trPr>
        <w:tc>
          <w:tcPr>
            <w:tcW w:w="5960" w:type="dxa"/>
            <w:vAlign w:val="bottom"/>
          </w:tcPr>
          <w:p>
            <w:pPr>
              <w:jc w:val="center"/>
              <w:ind w:left="1811"/>
              <w:spacing w:after="0"/>
              <w:rPr>
                <w:sz w:val="20"/>
                <w:szCs w:val="20"/>
                <w:color w:val="auto"/>
              </w:rPr>
            </w:pPr>
            <w:r>
              <w:rPr>
                <w:rFonts w:ascii="Times New Roman" w:cs="Times New Roman" w:eastAsia="Times New Roman" w:hAnsi="Times New Roman"/>
                <w:sz w:val="18"/>
                <w:szCs w:val="18"/>
                <w:b w:val="1"/>
                <w:bCs w:val="1"/>
                <w:color w:val="auto"/>
                <w:w w:val="99"/>
              </w:rPr>
              <w:t>Co-Chief Executive Officers</w:t>
            </w:r>
          </w:p>
        </w:tc>
        <w:tc>
          <w:tcPr>
            <w:tcW w:w="1500" w:type="dxa"/>
            <w:vAlign w:val="bottom"/>
          </w:tcPr>
          <w:p>
            <w:pPr>
              <w:spacing w:after="0"/>
              <w:rPr>
                <w:sz w:val="18"/>
                <w:szCs w:val="18"/>
                <w:color w:val="auto"/>
              </w:rPr>
            </w:pPr>
          </w:p>
        </w:tc>
      </w:tr>
      <w:tr>
        <w:trPr>
          <w:trHeight w:val="214"/>
        </w:trPr>
        <w:tc>
          <w:tcPr>
            <w:tcW w:w="5960" w:type="dxa"/>
            <w:vAlign w:val="bottom"/>
          </w:tcPr>
          <w:p>
            <w:pPr>
              <w:jc w:val="center"/>
              <w:ind w:left="1811"/>
              <w:spacing w:after="0"/>
              <w:rPr>
                <w:sz w:val="20"/>
                <w:szCs w:val="20"/>
                <w:color w:val="auto"/>
              </w:rPr>
            </w:pPr>
            <w:r>
              <w:rPr>
                <w:rFonts w:ascii="Times New Roman" w:cs="Times New Roman" w:eastAsia="Times New Roman" w:hAnsi="Times New Roman"/>
                <w:sz w:val="18"/>
                <w:szCs w:val="18"/>
                <w:b w:val="1"/>
                <w:bCs w:val="1"/>
                <w:color w:val="auto"/>
                <w:w w:val="98"/>
              </w:rPr>
              <w:t>AIxCrypto Holdings, Inc.</w:t>
            </w:r>
          </w:p>
        </w:tc>
        <w:tc>
          <w:tcPr>
            <w:tcW w:w="1500" w:type="dxa"/>
            <w:vAlign w:val="bottom"/>
          </w:tcPr>
          <w:p>
            <w:pPr>
              <w:spacing w:after="0"/>
              <w:rPr>
                <w:sz w:val="18"/>
                <w:szCs w:val="18"/>
                <w:color w:val="auto"/>
              </w:rPr>
            </w:pPr>
          </w:p>
        </w:tc>
      </w:tr>
      <w:tr>
        <w:trPr>
          <w:trHeight w:val="214"/>
        </w:trPr>
        <w:tc>
          <w:tcPr>
            <w:tcW w:w="5960" w:type="dxa"/>
            <w:vAlign w:val="bottom"/>
          </w:tcPr>
          <w:p>
            <w:pPr>
              <w:jc w:val="center"/>
              <w:ind w:left="1791"/>
              <w:spacing w:after="0"/>
              <w:rPr>
                <w:sz w:val="20"/>
                <w:szCs w:val="20"/>
                <w:color w:val="auto"/>
              </w:rPr>
            </w:pPr>
            <w:r>
              <w:rPr>
                <w:rFonts w:ascii="Times New Roman" w:cs="Times New Roman" w:eastAsia="Times New Roman" w:hAnsi="Times New Roman"/>
                <w:sz w:val="18"/>
                <w:szCs w:val="18"/>
                <w:b w:val="1"/>
                <w:bCs w:val="1"/>
                <w:color w:val="auto"/>
                <w:w w:val="98"/>
              </w:rPr>
              <w:t>1990 E. Grand Avenue</w:t>
            </w:r>
          </w:p>
        </w:tc>
        <w:tc>
          <w:tcPr>
            <w:tcW w:w="1500" w:type="dxa"/>
            <w:vAlign w:val="bottom"/>
          </w:tcPr>
          <w:p>
            <w:pPr>
              <w:spacing w:after="0"/>
              <w:rPr>
                <w:sz w:val="18"/>
                <w:szCs w:val="18"/>
                <w:color w:val="auto"/>
              </w:rPr>
            </w:pPr>
          </w:p>
        </w:tc>
      </w:tr>
      <w:tr>
        <w:trPr>
          <w:trHeight w:val="214"/>
        </w:trPr>
        <w:tc>
          <w:tcPr>
            <w:tcW w:w="5960" w:type="dxa"/>
            <w:vAlign w:val="bottom"/>
          </w:tcPr>
          <w:p>
            <w:pPr>
              <w:jc w:val="center"/>
              <w:ind w:left="1811"/>
              <w:spacing w:after="0"/>
              <w:rPr>
                <w:sz w:val="20"/>
                <w:szCs w:val="20"/>
                <w:color w:val="auto"/>
              </w:rPr>
            </w:pPr>
            <w:r>
              <w:rPr>
                <w:rFonts w:ascii="Times New Roman" w:cs="Times New Roman" w:eastAsia="Times New Roman" w:hAnsi="Times New Roman"/>
                <w:sz w:val="18"/>
                <w:szCs w:val="18"/>
                <w:b w:val="1"/>
                <w:bCs w:val="1"/>
                <w:color w:val="auto"/>
                <w:w w:val="98"/>
              </w:rPr>
              <w:t>El Segundo, CA 90245</w:t>
            </w:r>
          </w:p>
        </w:tc>
        <w:tc>
          <w:tcPr>
            <w:tcW w:w="1500" w:type="dxa"/>
            <w:vAlign w:val="bottom"/>
          </w:tcPr>
          <w:p>
            <w:pPr>
              <w:spacing w:after="0"/>
              <w:rPr>
                <w:sz w:val="18"/>
                <w:szCs w:val="18"/>
                <w:color w:val="auto"/>
              </w:rPr>
            </w:pPr>
          </w:p>
        </w:tc>
      </w:tr>
      <w:tr>
        <w:trPr>
          <w:trHeight w:val="237"/>
        </w:trPr>
        <w:tc>
          <w:tcPr>
            <w:tcW w:w="5960" w:type="dxa"/>
            <w:vAlign w:val="bottom"/>
          </w:tcPr>
          <w:p>
            <w:pPr>
              <w:jc w:val="center"/>
              <w:ind w:left="1811"/>
              <w:spacing w:after="0"/>
              <w:rPr>
                <w:sz w:val="20"/>
                <w:szCs w:val="20"/>
                <w:color w:val="auto"/>
              </w:rPr>
            </w:pPr>
            <w:r>
              <w:rPr>
                <w:rFonts w:ascii="Times New Roman" w:cs="Times New Roman" w:eastAsia="Times New Roman" w:hAnsi="Times New Roman"/>
                <w:sz w:val="18"/>
                <w:szCs w:val="18"/>
                <w:b w:val="1"/>
                <w:bCs w:val="1"/>
                <w:color w:val="auto"/>
                <w:w w:val="97"/>
              </w:rPr>
              <w:t>(760) 452-8111</w:t>
            </w:r>
          </w:p>
        </w:tc>
        <w:tc>
          <w:tcPr>
            <w:tcW w:w="1500" w:type="dxa"/>
            <w:vAlign w:val="bottom"/>
          </w:tcPr>
          <w:p>
            <w:pPr>
              <w:spacing w:after="0"/>
              <w:rPr>
                <w:sz w:val="20"/>
                <w:szCs w:val="20"/>
                <w:color w:val="auto"/>
              </w:rPr>
            </w:pPr>
          </w:p>
        </w:tc>
      </w:tr>
    </w:tbl>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16" w:lineRule="exact"/>
        <w:rPr>
          <w:sz w:val="24"/>
          <w:szCs w:val="24"/>
          <w:color w:val="auto"/>
        </w:rPr>
      </w:pPr>
    </w:p>
    <w:tbl>
      <w:tblPr>
        <w:tblLayout w:type="fixed"/>
        <w:tblInd w:w="1840" w:type="dxa"/>
        <w:tblCellMar>
          <w:top w:w="0" w:type="dxa"/>
          <w:left w:w="0" w:type="dxa"/>
          <w:bottom w:w="0" w:type="dxa"/>
          <w:right w:w="0" w:type="dxa"/>
        </w:tblCellMar>
      </w:tblPr>
      <w:tr>
        <w:trPr>
          <w:trHeight w:val="237"/>
        </w:trPr>
        <w:tc>
          <w:tcPr>
            <w:tcW w:w="2680" w:type="dxa"/>
            <w:vAlign w:val="bottom"/>
          </w:tcPr>
          <w:p>
            <w:pPr>
              <w:spacing w:after="0"/>
              <w:rPr>
                <w:sz w:val="20"/>
                <w:szCs w:val="20"/>
                <w:color w:val="auto"/>
              </w:rPr>
            </w:pPr>
          </w:p>
        </w:tc>
        <w:tc>
          <w:tcPr>
            <w:tcW w:w="49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Copies to:</w:t>
            </w:r>
          </w:p>
        </w:tc>
      </w:tr>
      <w:tr>
        <w:trPr>
          <w:trHeight w:val="405"/>
        </w:trPr>
        <w:tc>
          <w:tcPr>
            <w:tcW w:w="2680" w:type="dxa"/>
            <w:vAlign w:val="bottom"/>
          </w:tcPr>
          <w:p>
            <w:pPr>
              <w:jc w:val="center"/>
              <w:ind w:right="651"/>
              <w:spacing w:after="0"/>
              <w:rPr>
                <w:sz w:val="20"/>
                <w:szCs w:val="20"/>
                <w:color w:val="auto"/>
              </w:rPr>
            </w:pPr>
            <w:r>
              <w:rPr>
                <w:rFonts w:ascii="Times New Roman" w:cs="Times New Roman" w:eastAsia="Times New Roman" w:hAnsi="Times New Roman"/>
                <w:sz w:val="18"/>
                <w:szCs w:val="18"/>
                <w:b w:val="1"/>
                <w:bCs w:val="1"/>
                <w:color w:val="auto"/>
                <w:w w:val="98"/>
              </w:rPr>
              <w:t>Henry Yin, Esq.</w:t>
            </w:r>
          </w:p>
        </w:tc>
        <w:tc>
          <w:tcPr>
            <w:tcW w:w="4960" w:type="dxa"/>
            <w:vAlign w:val="bottom"/>
          </w:tcPr>
          <w:p>
            <w:pPr>
              <w:jc w:val="center"/>
              <w:ind w:left="2771"/>
              <w:spacing w:after="0"/>
              <w:rPr>
                <w:sz w:val="20"/>
                <w:szCs w:val="20"/>
                <w:color w:val="auto"/>
              </w:rPr>
            </w:pPr>
            <w:r>
              <w:rPr>
                <w:rFonts w:ascii="Times New Roman" w:cs="Times New Roman" w:eastAsia="Times New Roman" w:hAnsi="Times New Roman"/>
                <w:sz w:val="18"/>
                <w:szCs w:val="18"/>
                <w:b w:val="1"/>
                <w:bCs w:val="1"/>
                <w:color w:val="auto"/>
                <w:w w:val="99"/>
              </w:rPr>
              <w:t>Hermione M. Krumm, Esq.</w:t>
            </w:r>
          </w:p>
        </w:tc>
      </w:tr>
      <w:tr>
        <w:trPr>
          <w:trHeight w:val="214"/>
        </w:trPr>
        <w:tc>
          <w:tcPr>
            <w:tcW w:w="2680" w:type="dxa"/>
            <w:vAlign w:val="bottom"/>
          </w:tcPr>
          <w:p>
            <w:pPr>
              <w:jc w:val="center"/>
              <w:ind w:right="631"/>
              <w:spacing w:after="0"/>
              <w:rPr>
                <w:sz w:val="20"/>
                <w:szCs w:val="20"/>
                <w:color w:val="auto"/>
              </w:rPr>
            </w:pPr>
            <w:r>
              <w:rPr>
                <w:rFonts w:ascii="Times New Roman" w:cs="Times New Roman" w:eastAsia="Times New Roman" w:hAnsi="Times New Roman"/>
                <w:sz w:val="18"/>
                <w:szCs w:val="18"/>
                <w:b w:val="1"/>
                <w:bCs w:val="1"/>
                <w:color w:val="auto"/>
                <w:w w:val="98"/>
              </w:rPr>
              <w:t>Loeb &amp; Loeb LLP</w:t>
            </w:r>
          </w:p>
        </w:tc>
        <w:tc>
          <w:tcPr>
            <w:tcW w:w="4960" w:type="dxa"/>
            <w:vAlign w:val="bottom"/>
          </w:tcPr>
          <w:p>
            <w:pPr>
              <w:jc w:val="center"/>
              <w:ind w:left="2791"/>
              <w:spacing w:after="0"/>
              <w:rPr>
                <w:sz w:val="20"/>
                <w:szCs w:val="20"/>
                <w:color w:val="auto"/>
              </w:rPr>
            </w:pPr>
            <w:r>
              <w:rPr>
                <w:rFonts w:ascii="Times New Roman" w:cs="Times New Roman" w:eastAsia="Times New Roman" w:hAnsi="Times New Roman"/>
                <w:sz w:val="18"/>
                <w:szCs w:val="18"/>
                <w:b w:val="1"/>
                <w:bCs w:val="1"/>
                <w:color w:val="auto"/>
                <w:w w:val="98"/>
              </w:rPr>
              <w:t>Loeb &amp; Loeb LLP</w:t>
            </w:r>
          </w:p>
        </w:tc>
      </w:tr>
      <w:tr>
        <w:trPr>
          <w:trHeight w:val="214"/>
        </w:trPr>
        <w:tc>
          <w:tcPr>
            <w:tcW w:w="2680" w:type="dxa"/>
            <w:vAlign w:val="bottom"/>
          </w:tcPr>
          <w:p>
            <w:pPr>
              <w:jc w:val="center"/>
              <w:ind w:right="651"/>
              <w:spacing w:after="0"/>
              <w:rPr>
                <w:sz w:val="20"/>
                <w:szCs w:val="20"/>
                <w:color w:val="auto"/>
              </w:rPr>
            </w:pPr>
            <w:r>
              <w:rPr>
                <w:rFonts w:ascii="Times New Roman" w:cs="Times New Roman" w:eastAsia="Times New Roman" w:hAnsi="Times New Roman"/>
                <w:sz w:val="18"/>
                <w:szCs w:val="18"/>
                <w:b w:val="1"/>
                <w:bCs w:val="1"/>
                <w:color w:val="auto"/>
                <w:w w:val="98"/>
              </w:rPr>
              <w:t>2206-19 Jardine House</w:t>
            </w:r>
          </w:p>
        </w:tc>
        <w:tc>
          <w:tcPr>
            <w:tcW w:w="4960" w:type="dxa"/>
            <w:vAlign w:val="bottom"/>
          </w:tcPr>
          <w:p>
            <w:pPr>
              <w:jc w:val="center"/>
              <w:ind w:left="2791"/>
              <w:spacing w:after="0"/>
              <w:rPr>
                <w:sz w:val="20"/>
                <w:szCs w:val="20"/>
                <w:color w:val="auto"/>
              </w:rPr>
            </w:pPr>
            <w:r>
              <w:rPr>
                <w:rFonts w:ascii="Times New Roman" w:cs="Times New Roman" w:eastAsia="Times New Roman" w:hAnsi="Times New Roman"/>
                <w:sz w:val="18"/>
                <w:szCs w:val="18"/>
                <w:b w:val="1"/>
                <w:bCs w:val="1"/>
                <w:color w:val="auto"/>
                <w:w w:val="96"/>
              </w:rPr>
              <w:t>345 Park Avenue</w:t>
            </w:r>
          </w:p>
        </w:tc>
      </w:tr>
      <w:tr>
        <w:trPr>
          <w:trHeight w:val="214"/>
        </w:trPr>
        <w:tc>
          <w:tcPr>
            <w:tcW w:w="2680" w:type="dxa"/>
            <w:vAlign w:val="bottom"/>
          </w:tcPr>
          <w:p>
            <w:pPr>
              <w:jc w:val="center"/>
              <w:ind w:right="631"/>
              <w:spacing w:after="0"/>
              <w:rPr>
                <w:sz w:val="20"/>
                <w:szCs w:val="20"/>
                <w:color w:val="auto"/>
              </w:rPr>
            </w:pPr>
            <w:r>
              <w:rPr>
                <w:rFonts w:ascii="Times New Roman" w:cs="Times New Roman" w:eastAsia="Times New Roman" w:hAnsi="Times New Roman"/>
                <w:sz w:val="18"/>
                <w:szCs w:val="18"/>
                <w:b w:val="1"/>
                <w:bCs w:val="1"/>
                <w:color w:val="auto"/>
                <w:w w:val="99"/>
              </w:rPr>
              <w:t>1 Connaught Place</w:t>
            </w:r>
          </w:p>
        </w:tc>
        <w:tc>
          <w:tcPr>
            <w:tcW w:w="4960" w:type="dxa"/>
            <w:vAlign w:val="bottom"/>
          </w:tcPr>
          <w:p>
            <w:pPr>
              <w:jc w:val="center"/>
              <w:ind w:left="2791"/>
              <w:spacing w:after="0"/>
              <w:rPr>
                <w:sz w:val="20"/>
                <w:szCs w:val="20"/>
                <w:color w:val="auto"/>
              </w:rPr>
            </w:pPr>
            <w:r>
              <w:rPr>
                <w:rFonts w:ascii="Times New Roman" w:cs="Times New Roman" w:eastAsia="Times New Roman" w:hAnsi="Times New Roman"/>
                <w:sz w:val="18"/>
                <w:szCs w:val="18"/>
                <w:b w:val="1"/>
                <w:bCs w:val="1"/>
                <w:color w:val="auto"/>
                <w:w w:val="98"/>
              </w:rPr>
              <w:t>New York, NY 10154</w:t>
            </w:r>
          </w:p>
        </w:tc>
      </w:tr>
      <w:tr>
        <w:trPr>
          <w:trHeight w:val="214"/>
        </w:trPr>
        <w:tc>
          <w:tcPr>
            <w:tcW w:w="2680" w:type="dxa"/>
            <w:vAlign w:val="bottom"/>
          </w:tcPr>
          <w:p>
            <w:pPr>
              <w:jc w:val="center"/>
              <w:ind w:right="631"/>
              <w:spacing w:after="0"/>
              <w:rPr>
                <w:sz w:val="20"/>
                <w:szCs w:val="20"/>
                <w:color w:val="auto"/>
              </w:rPr>
            </w:pPr>
            <w:r>
              <w:rPr>
                <w:rFonts w:ascii="Times New Roman" w:cs="Times New Roman" w:eastAsia="Times New Roman" w:hAnsi="Times New Roman"/>
                <w:sz w:val="18"/>
                <w:szCs w:val="18"/>
                <w:b w:val="1"/>
                <w:bCs w:val="1"/>
                <w:color w:val="auto"/>
                <w:w w:val="99"/>
              </w:rPr>
              <w:t>Central, Hong Kong SAR</w:t>
            </w:r>
          </w:p>
        </w:tc>
        <w:tc>
          <w:tcPr>
            <w:tcW w:w="4960" w:type="dxa"/>
            <w:vAlign w:val="bottom"/>
          </w:tcPr>
          <w:p>
            <w:pPr>
              <w:jc w:val="center"/>
              <w:ind w:left="2791"/>
              <w:spacing w:after="0"/>
              <w:rPr>
                <w:sz w:val="20"/>
                <w:szCs w:val="20"/>
                <w:color w:val="auto"/>
              </w:rPr>
            </w:pPr>
            <w:r>
              <w:rPr>
                <w:rFonts w:ascii="Times New Roman" w:cs="Times New Roman" w:eastAsia="Times New Roman" w:hAnsi="Times New Roman"/>
                <w:sz w:val="18"/>
                <w:szCs w:val="18"/>
                <w:b w:val="1"/>
                <w:bCs w:val="1"/>
                <w:color w:val="auto"/>
                <w:w w:val="99"/>
              </w:rPr>
              <w:t>(212) 407-4000</w:t>
            </w:r>
          </w:p>
        </w:tc>
      </w:tr>
      <w:tr>
        <w:trPr>
          <w:trHeight w:val="237"/>
        </w:trPr>
        <w:tc>
          <w:tcPr>
            <w:tcW w:w="2680" w:type="dxa"/>
            <w:vAlign w:val="bottom"/>
          </w:tcPr>
          <w:p>
            <w:pPr>
              <w:jc w:val="center"/>
              <w:ind w:right="631"/>
              <w:spacing w:after="0"/>
              <w:rPr>
                <w:sz w:val="20"/>
                <w:szCs w:val="20"/>
                <w:color w:val="auto"/>
              </w:rPr>
            </w:pPr>
            <w:r>
              <w:rPr>
                <w:rFonts w:ascii="Times New Roman" w:cs="Times New Roman" w:eastAsia="Times New Roman" w:hAnsi="Times New Roman"/>
                <w:sz w:val="18"/>
                <w:szCs w:val="18"/>
                <w:b w:val="1"/>
                <w:bCs w:val="1"/>
                <w:color w:val="auto"/>
                <w:w w:val="95"/>
              </w:rPr>
              <w:t>+852-3923-1111</w:t>
            </w:r>
          </w:p>
        </w:tc>
        <w:tc>
          <w:tcPr>
            <w:tcW w:w="4960" w:type="dxa"/>
            <w:vAlign w:val="bottom"/>
          </w:tcPr>
          <w:p>
            <w:pPr>
              <w:spacing w:after="0"/>
              <w:rPr>
                <w:sz w:val="20"/>
                <w:szCs w:val="20"/>
                <w:color w:val="auto"/>
              </w:rPr>
            </w:pPr>
          </w:p>
        </w:tc>
      </w:tr>
    </w:tbl>
    <w:p>
      <w:pPr>
        <w:spacing w:after="0" w:line="200" w:lineRule="exact"/>
        <w:rPr>
          <w:sz w:val="24"/>
          <w:szCs w:val="24"/>
          <w:color w:val="auto"/>
        </w:rPr>
      </w:pPr>
    </w:p>
    <w:p>
      <w:pPr>
        <w:spacing w:after="0" w:line="209" w:lineRule="exact"/>
        <w:rPr>
          <w:sz w:val="24"/>
          <w:szCs w:val="24"/>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2100" w:type="dxa"/>
            <w:vAlign w:val="bottom"/>
          </w:tcPr>
          <w:p>
            <w:pPr>
              <w:ind w:left="1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6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100" w:type="dxa"/>
            <w:vAlign w:val="bottom"/>
          </w:tcPr>
          <w:p>
            <w:pPr>
              <w:ind w:left="1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3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100" w:type="dxa"/>
            <w:vAlign w:val="bottom"/>
          </w:tcPr>
          <w:p>
            <w:pPr>
              <w:ind w:left="19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1"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457200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ind w:firstLine="705"/>
        <w:spacing w:after="0" w:line="262"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by AIxCrypto Holdings, Inc. (the “Registrant”) to register an aggregate of 1,047,865 shares of the Registrant’s common stock, par value $0.001 per share, reserved and available for issuance pursuant to the Registrant’s 2025 Equity Incentive Plan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259715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4" w:lineRule="exact"/>
        <w:rPr>
          <w:sz w:val="20"/>
          <w:szCs w:val="20"/>
          <w:color w:val="auto"/>
        </w:rPr>
      </w:pPr>
    </w:p>
    <w:p>
      <w:pPr>
        <w:jc w:val="both"/>
        <w:ind w:firstLine="712"/>
        <w:spacing w:after="0" w:line="255" w:lineRule="auto"/>
        <w:tabs>
          <w:tab w:leader="none" w:pos="8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by Part I to be contained in the Section 10(a) prospectus is omitted from this Registration Statement in accordance with Rule 428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Note to Part I of Form S-8. The documents containing information specified in this Part I will be separately provided to the participants in the Plan covered by this Registration Statement, as specified by Rule 428(b)(1) under the Securities Act. These documents and the documents incorporated by reference in this Registration Statement pursuant to Item 3 of Part II of Form S-8, taken together, constitute a prospectus that meets the requirements of Section 10(a)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firstLine="705"/>
        <w:spacing w:after="0" w:line="277" w:lineRule="auto"/>
        <w:rPr>
          <w:sz w:val="20"/>
          <w:szCs w:val="20"/>
          <w:color w:val="auto"/>
        </w:rPr>
      </w:pPr>
      <w:r>
        <w:rPr>
          <w:rFonts w:ascii="Times New Roman" w:cs="Times New Roman" w:eastAsia="Times New Roman" w:hAnsi="Times New Roman"/>
          <w:sz w:val="18"/>
          <w:szCs w:val="18"/>
          <w:color w:val="auto"/>
        </w:rPr>
        <w:t>The following documents filed with the Securities and Exchange Commission (the “Commission”) by the Registrant are incorporated herein by reference:</w:t>
      </w:r>
    </w:p>
    <w:p>
      <w:pPr>
        <w:spacing w:after="0" w:line="163" w:lineRule="exact"/>
        <w:rPr>
          <w:sz w:val="20"/>
          <w:szCs w:val="20"/>
          <w:color w:val="auto"/>
        </w:rPr>
      </w:pPr>
    </w:p>
    <w:p>
      <w:pPr>
        <w:ind w:left="1340" w:hanging="639"/>
        <w:spacing w:after="0" w:line="277" w:lineRule="auto"/>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Commission on March 30, 2026;</w:t>
      </w:r>
    </w:p>
    <w:p>
      <w:pPr>
        <w:spacing w:after="0" w:line="163" w:lineRule="exact"/>
        <w:rPr>
          <w:rFonts w:ascii="Times New Roman" w:cs="Times New Roman" w:eastAsia="Times New Roman" w:hAnsi="Times New Roman"/>
          <w:sz w:val="18"/>
          <w:szCs w:val="18"/>
          <w:color w:val="auto"/>
        </w:rPr>
      </w:pPr>
    </w:p>
    <w:p>
      <w:pPr>
        <w:ind w:left="1340" w:right="20" w:hanging="639"/>
        <w:spacing w:after="0" w:line="277" w:lineRule="auto"/>
        <w:tabs>
          <w:tab w:leader="none" w:pos="134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filed with the Commission on </w:t>
      </w:r>
      <w:hyperlink r:id="rId16">
        <w:r>
          <w:rPr>
            <w:rFonts w:ascii="Times New Roman" w:cs="Times New Roman" w:eastAsia="Times New Roman" w:hAnsi="Times New Roman"/>
            <w:sz w:val="18"/>
            <w:szCs w:val="18"/>
            <w:u w:val="single" w:color="auto"/>
            <w:color w:val="0000EE"/>
          </w:rPr>
          <w:t xml:space="preserve">January 6, 2026 </w:t>
        </w:r>
      </w:hyperlink>
      <w:hyperlink r:id="rId17">
        <w:r>
          <w:rPr>
            <w:rFonts w:ascii="Times New Roman" w:cs="Times New Roman" w:eastAsia="Times New Roman" w:hAnsi="Times New Roman"/>
            <w:sz w:val="18"/>
            <w:szCs w:val="18"/>
            <w:u w:val="single" w:color="auto"/>
            <w:color w:val="auto"/>
          </w:rPr>
          <w:t xml:space="preserve">February </w:t>
        </w:r>
        <w:r>
          <w:rPr>
            <w:rFonts w:ascii="Times New Roman" w:cs="Times New Roman" w:eastAsia="Times New Roman" w:hAnsi="Times New Roman"/>
            <w:sz w:val="18"/>
            <w:szCs w:val="18"/>
            <w:u w:val="single" w:color="auto"/>
            <w:color w:val="0000EE"/>
          </w:rPr>
          <w:t>2, 2026</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February 17, 2026</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February 27, 2026</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0">
        <w:r>
          <w:rPr>
            <w:rFonts w:ascii="Times New Roman" w:cs="Times New Roman" w:eastAsia="Times New Roman" w:hAnsi="Times New Roman"/>
            <w:sz w:val="18"/>
            <w:szCs w:val="18"/>
            <w:u w:val="single" w:color="auto"/>
            <w:color w:val="0000EE"/>
          </w:rPr>
          <w:t>April 16,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63" w:lineRule="exact"/>
        <w:rPr>
          <w:rFonts w:ascii="Times New Roman" w:cs="Times New Roman" w:eastAsia="Times New Roman" w:hAnsi="Times New Roman"/>
          <w:sz w:val="18"/>
          <w:szCs w:val="18"/>
          <w:color w:val="0000EE"/>
        </w:rPr>
      </w:pPr>
    </w:p>
    <w:p>
      <w:pPr>
        <w:jc w:val="both"/>
        <w:ind w:left="1340" w:hanging="639"/>
        <w:spacing w:after="0" w:line="262" w:lineRule="auto"/>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2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pursuant to Section 12(b) of the Securities Exchange Act of 1934, as amended (the “Exchange Act”), on June 12, 2015, including any amendments or reports filed for the purpose of updating that description.</w:t>
      </w:r>
    </w:p>
    <w:p>
      <w:pPr>
        <w:spacing w:after="0" w:line="177" w:lineRule="exact"/>
        <w:rPr>
          <w:rFonts w:ascii="Times New Roman" w:cs="Times New Roman" w:eastAsia="Times New Roman" w:hAnsi="Times New Roman"/>
          <w:sz w:val="18"/>
          <w:szCs w:val="18"/>
          <w:color w:val="0000EE"/>
        </w:rPr>
      </w:pPr>
    </w:p>
    <w:p>
      <w:pPr>
        <w:jc w:val="both"/>
        <w:ind w:firstLine="705"/>
        <w:spacing w:after="0" w:line="255" w:lineRule="auto"/>
        <w:rPr>
          <w:sz w:val="20"/>
          <w:szCs w:val="20"/>
          <w:color w:val="auto"/>
        </w:rPr>
      </w:pPr>
      <w:r>
        <w:rPr>
          <w:rFonts w:ascii="Times New Roman" w:cs="Times New Roman" w:eastAsia="Times New Roman" w:hAnsi="Times New Roman"/>
          <w:sz w:val="18"/>
          <w:szCs w:val="18"/>
          <w:color w:val="auto"/>
        </w:rPr>
        <w:t>In addition, all documents subsequently filed by the Registrant with the Commission pursuant to Sections 13(a), 13(c), 14 and 15(d) of the Exchange Act (other than those furnished pursuant to Item 2.02 or Item 7.01 of Form 8-K or other information “furnished” to the Commission)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time of filing of such documents.</w:t>
      </w:r>
    </w:p>
    <w:p>
      <w:pPr>
        <w:spacing w:after="0" w:line="183" w:lineRule="exact"/>
        <w:rPr>
          <w:rFonts w:ascii="Times New Roman" w:cs="Times New Roman" w:eastAsia="Times New Roman" w:hAnsi="Times New Roman"/>
          <w:sz w:val="18"/>
          <w:szCs w:val="18"/>
          <w:color w:val="0000EE"/>
        </w:rPr>
      </w:pPr>
    </w:p>
    <w:p>
      <w:pPr>
        <w:jc w:val="both"/>
        <w:ind w:firstLine="705"/>
        <w:spacing w:after="0" w:line="273" w:lineRule="auto"/>
        <w:rPr>
          <w:sz w:val="20"/>
          <w:szCs w:val="20"/>
          <w:color w:val="auto"/>
        </w:rPr>
      </w:pPr>
      <w:r>
        <w:rPr>
          <w:rFonts w:ascii="Times New Roman" w:cs="Times New Roman" w:eastAsia="Times New Roman" w:hAnsi="Times New Roman"/>
          <w:sz w:val="17"/>
          <w:szCs w:val="17"/>
          <w:color w:val="auto"/>
        </w:rPr>
        <w:t>For purposes of this Registration Statement, any statement contained in a document incorporated or deemed to be incorporated herein by reference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 Subject to the foregoing, all information in this Registration Statement is so qualified in its entirety by the information appearing in the documents incorporated herein by reference.</w:t>
      </w:r>
    </w:p>
    <w:p>
      <w:pPr>
        <w:spacing w:after="0" w:line="167"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4" w:lineRule="exact"/>
        <w:rPr>
          <w:rFonts w:ascii="Times New Roman" w:cs="Times New Roman" w:eastAsia="Times New Roman" w:hAnsi="Times New Roman"/>
          <w:sz w:val="18"/>
          <w:szCs w:val="18"/>
          <w:color w:val="0000EE"/>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OF NAMED EXPERTS AND COUNSEL</w:t>
      </w:r>
    </w:p>
    <w:p>
      <w:pPr>
        <w:spacing w:after="0" w:line="224" w:lineRule="exact"/>
        <w:rPr>
          <w:rFonts w:ascii="Times New Roman" w:cs="Times New Roman" w:eastAsia="Times New Roman" w:hAnsi="Times New Roman"/>
          <w:sz w:val="18"/>
          <w:szCs w:val="18"/>
          <w:color w:val="0000EE"/>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4" w:lineRule="exact"/>
        <w:rPr>
          <w:rFonts w:ascii="Times New Roman" w:cs="Times New Roman" w:eastAsia="Times New Roman" w:hAnsi="Times New Roman"/>
          <w:sz w:val="18"/>
          <w:szCs w:val="18"/>
          <w:color w:val="0000EE"/>
        </w:rPr>
      </w:pPr>
    </w:p>
    <w:p>
      <w:pPr>
        <w:jc w:val="both"/>
        <w:ind w:firstLine="705"/>
        <w:spacing w:after="0" w:line="249" w:lineRule="auto"/>
        <w:rPr>
          <w:sz w:val="20"/>
          <w:szCs w:val="20"/>
          <w:color w:val="auto"/>
        </w:rPr>
      </w:pPr>
      <w:r>
        <w:rPr>
          <w:rFonts w:ascii="Times New Roman" w:cs="Times New Roman" w:eastAsia="Times New Roman" w:hAnsi="Times New Roman"/>
          <w:sz w:val="18"/>
          <w:szCs w:val="18"/>
          <w:color w:val="auto"/>
        </w:rPr>
        <w:t>Section 145 of the General Corporation Law of the State of Delaware (“DGCL”)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or her conduct was illegal. A Delaware corporation may indemnify any persons who are, were or are a party to any threatened, pending or completed action or suit by or in the right of the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4445</wp:posOffset>
            </wp:positionH>
            <wp:positionV relativeFrom="paragraph">
              <wp:posOffset>273685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 w:name="page5"/>
    <w:bookmarkEnd w:id="4"/>
    <w:p>
      <w:pPr>
        <w:jc w:val="both"/>
        <w:ind w:firstLine="705"/>
        <w:spacing w:after="0" w:line="257" w:lineRule="auto"/>
        <w:rPr>
          <w:sz w:val="20"/>
          <w:szCs w:val="20"/>
          <w:color w:val="auto"/>
        </w:rPr>
      </w:pPr>
      <w:r>
        <w:rPr>
          <w:rFonts w:ascii="Times New Roman" w:cs="Times New Roman" w:eastAsia="Times New Roman" w:hAnsi="Times New Roman"/>
          <w:sz w:val="18"/>
          <w:szCs w:val="18"/>
          <w:color w:val="auto"/>
        </w:rPr>
        <w:t>Section 145 of the DGCL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their status as such, whether or not the corporation would otherwise have the power to indemnify him under Section 145 of the DGCL.</w:t>
      </w:r>
    </w:p>
    <w:p>
      <w:pPr>
        <w:spacing w:after="0" w:line="182" w:lineRule="exact"/>
        <w:rPr>
          <w:sz w:val="20"/>
          <w:szCs w:val="20"/>
          <w:color w:val="auto"/>
        </w:rPr>
      </w:pPr>
    </w:p>
    <w:p>
      <w:pPr>
        <w:jc w:val="both"/>
        <w:ind w:firstLine="705"/>
        <w:spacing w:after="0" w:line="253" w:lineRule="auto"/>
        <w:rPr>
          <w:sz w:val="20"/>
          <w:szCs w:val="20"/>
          <w:color w:val="auto"/>
        </w:rPr>
      </w:pPr>
      <w:r>
        <w:rPr>
          <w:rFonts w:ascii="Times New Roman" w:cs="Times New Roman" w:eastAsia="Times New Roman" w:hAnsi="Times New Roman"/>
          <w:sz w:val="18"/>
          <w:szCs w:val="18"/>
          <w:color w:val="auto"/>
        </w:rPr>
        <w:t>Article VIII of the Amended and Restated Certificate of Incorporation of the Registrant (the “Charter”) provides, in part, that a director of the Company shall not be personally liable to the Company or its stockholders for monetary damages for a breach of fiduciary duty as a director, except for liability (i) for any breach of the director’s duty of loyalty to the Corporation or its stockholders, (ii) for acts or omissions not in good faith or which involved intentional misconduct or a knowing violation of law, (iii) under Section 174 of the DGCL, or (iv) for any transaction from which the director derived an improper personal benefit. Article IX of the Charter and Article 6 of the Amended and Restated Bylaws of the Company (the “Bylaws”) generally provide for indemnification of directors and officers of the Company to the fullest extent permitted by the DGCL.</w:t>
      </w:r>
    </w:p>
    <w:p>
      <w:pPr>
        <w:spacing w:after="0" w:line="187" w:lineRule="exact"/>
        <w:rPr>
          <w:sz w:val="20"/>
          <w:szCs w:val="20"/>
          <w:color w:val="auto"/>
        </w:rPr>
      </w:pPr>
    </w:p>
    <w:p>
      <w:pPr>
        <w:jc w:val="both"/>
        <w:ind w:firstLine="705"/>
        <w:spacing w:after="0" w:line="262" w:lineRule="auto"/>
        <w:rPr>
          <w:sz w:val="20"/>
          <w:szCs w:val="20"/>
          <w:color w:val="auto"/>
        </w:rPr>
      </w:pPr>
      <w:r>
        <w:rPr>
          <w:rFonts w:ascii="Times New Roman" w:cs="Times New Roman" w:eastAsia="Times New Roman" w:hAnsi="Times New Roman"/>
          <w:sz w:val="18"/>
          <w:szCs w:val="18"/>
          <w:color w:val="auto"/>
        </w:rPr>
        <w:t>The foregoing is only a general summary of certain aspects of the DGCL and the Company’s organizational documents dealing with indemnification of directors and officers and does not purport to be complete summary of the same. As a result, this Item 6 is qualified in its entirety by reference to the applicable provisions of the DGCL and of the Charter and Bylaws.</w:t>
      </w:r>
    </w:p>
    <w:p>
      <w:pPr>
        <w:spacing w:after="0" w:line="177" w:lineRule="exact"/>
        <w:rPr>
          <w:sz w:val="20"/>
          <w:szCs w:val="20"/>
          <w:color w:val="auto"/>
        </w:rPr>
      </w:pPr>
    </w:p>
    <w:p>
      <w:pPr>
        <w:jc w:val="both"/>
        <w:ind w:firstLine="705"/>
        <w:spacing w:after="0" w:line="277" w:lineRule="auto"/>
        <w:rPr>
          <w:sz w:val="20"/>
          <w:szCs w:val="20"/>
          <w:color w:val="auto"/>
        </w:rPr>
      </w:pPr>
      <w:r>
        <w:rPr>
          <w:rFonts w:ascii="Times New Roman" w:cs="Times New Roman" w:eastAsia="Times New Roman" w:hAnsi="Times New Roman"/>
          <w:sz w:val="18"/>
          <w:szCs w:val="18"/>
          <w:color w:val="auto"/>
        </w:rPr>
        <w:t>The Company has obtained directors’ and officers’ liability insurance, which insures against liabilities that its directors or officers may incur in such capacities.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the attached Exhibit Index.</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4" w:lineRule="exact"/>
        <w:rPr>
          <w:sz w:val="20"/>
          <w:szCs w:val="20"/>
          <w:color w:val="auto"/>
        </w:rPr>
      </w:pPr>
    </w:p>
    <w:p>
      <w:pPr>
        <w:ind w:left="240" w:hanging="233"/>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0" w:lineRule="exact"/>
        <w:rPr>
          <w:rFonts w:ascii="Times New Roman" w:cs="Times New Roman" w:eastAsia="Times New Roman" w:hAnsi="Times New Roman"/>
          <w:sz w:val="18"/>
          <w:szCs w:val="18"/>
          <w:color w:val="auto"/>
        </w:rPr>
      </w:pPr>
    </w:p>
    <w:p>
      <w:pPr>
        <w:ind w:left="580" w:hanging="253"/>
        <w:spacing w:after="0"/>
        <w:tabs>
          <w:tab w:leader="none" w:pos="5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860" w:hanging="212"/>
        <w:spacing w:after="0"/>
        <w:tabs>
          <w:tab w:leader="none" w:pos="8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0" w:lineRule="exact"/>
        <w:rPr>
          <w:rFonts w:ascii="Times New Roman" w:cs="Times New Roman" w:eastAsia="Times New Roman" w:hAnsi="Times New Roman"/>
          <w:sz w:val="18"/>
          <w:szCs w:val="18"/>
          <w:color w:val="auto"/>
        </w:rPr>
      </w:pPr>
    </w:p>
    <w:p>
      <w:pPr>
        <w:jc w:val="both"/>
        <w:ind w:left="640" w:firstLine="8"/>
        <w:spacing w:after="0" w:line="252" w:lineRule="auto"/>
        <w:tabs>
          <w:tab w:leader="none" w:pos="91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 w:name="page6"/>
    <w:bookmarkEnd w:id="5"/>
    <w:p>
      <w:pPr>
        <w:ind w:left="640" w:firstLine="8"/>
        <w:spacing w:after="0" w:line="277"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above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76" w:lineRule="exact"/>
        <w:rPr>
          <w:sz w:val="20"/>
          <w:szCs w:val="20"/>
          <w:color w:val="auto"/>
        </w:rPr>
      </w:pPr>
    </w:p>
    <w:p>
      <w:pPr>
        <w:jc w:val="both"/>
        <w:ind w:left="320" w:firstLine="7"/>
        <w:spacing w:after="0" w:line="262" w:lineRule="auto"/>
        <w:tabs>
          <w:tab w:leader="none" w:pos="59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and</w:t>
      </w:r>
    </w:p>
    <w:p>
      <w:pPr>
        <w:spacing w:after="0" w:line="177" w:lineRule="exact"/>
        <w:rPr>
          <w:rFonts w:ascii="Times New Roman" w:cs="Times New Roman" w:eastAsia="Times New Roman" w:hAnsi="Times New Roman"/>
          <w:sz w:val="18"/>
          <w:szCs w:val="18"/>
          <w:color w:val="auto"/>
        </w:rPr>
      </w:pPr>
    </w:p>
    <w:p>
      <w:pPr>
        <w:ind w:left="320" w:firstLine="7"/>
        <w:spacing w:after="0" w:line="277" w:lineRule="auto"/>
        <w:tabs>
          <w:tab w:leader="none" w:pos="5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jc w:val="both"/>
        <w:ind w:firstLine="7"/>
        <w:spacing w:after="0" w:line="277" w:lineRule="auto"/>
        <w:tabs>
          <w:tab w:leader="none" w:pos="26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66" w:lineRule="exact"/>
        <w:rPr>
          <w:rFonts w:ascii="Times New Roman" w:cs="Times New Roman" w:eastAsia="Times New Roman" w:hAnsi="Times New Roman"/>
          <w:sz w:val="17"/>
          <w:szCs w:val="17"/>
          <w:color w:val="auto"/>
        </w:rPr>
      </w:pPr>
    </w:p>
    <w:p>
      <w:pPr>
        <w:jc w:val="both"/>
        <w:ind w:firstLine="7"/>
        <w:spacing w:after="0" w:line="270" w:lineRule="auto"/>
        <w:tabs>
          <w:tab w:leader="none" w:pos="24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any such director, officer or controlling person in connection with the securities being registered, the Registrant will, unless in the opinion of its counsel the matter has been settled by controlling precedent, submit to a court of appropriate jurisdiction the question of whether or not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on April 17, 2026.</w:t>
      </w:r>
    </w:p>
    <w:p>
      <w:pPr>
        <w:spacing w:after="0" w:line="1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AIxCrypto Holdings, Inc.</w:t>
      </w:r>
    </w:p>
    <w:p>
      <w:pPr>
        <w:spacing w:after="0" w:line="21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Kevin A. Richardson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A. Richardson II</w:t>
      </w:r>
    </w:p>
    <w:p>
      <w:pPr>
        <w:spacing w:after="0" w:line="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Co-Chief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Kevin A. Richardson II and Jiawei Wang, and each of them,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on Form S-1, and to file the same, with all exhibits thereto, and all other documents in connection therewith, with the Securities and Exchange Commission and any applicable securities exchange or securities self-regulatory body,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5"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 w:type="dxa"/>
            <w:vAlign w:val="bottom"/>
          </w:tcPr>
          <w:p>
            <w:pPr>
              <w:spacing w:after="0"/>
              <w:rPr>
                <w:sz w:val="20"/>
                <w:szCs w:val="20"/>
                <w:color w:val="auto"/>
              </w:rPr>
            </w:pPr>
          </w:p>
        </w:tc>
        <w:tc>
          <w:tcPr>
            <w:tcW w:w="584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1"/>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Kevin A. Richardson II</w:t>
            </w:r>
          </w:p>
        </w:tc>
        <w:tc>
          <w:tcPr>
            <w:tcW w:w="24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2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Kevin A. Richardson II</w:t>
            </w:r>
          </w:p>
        </w:tc>
        <w:tc>
          <w:tcPr>
            <w:tcW w:w="24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40" w:type="dxa"/>
            <w:vAlign w:val="bottom"/>
          </w:tcPr>
          <w:p>
            <w:pPr>
              <w:spacing w:after="0"/>
              <w:rPr>
                <w:sz w:val="19"/>
                <w:szCs w:val="19"/>
                <w:color w:val="auto"/>
              </w:rPr>
            </w:pPr>
          </w:p>
        </w:tc>
      </w:tr>
      <w:tr>
        <w:trPr>
          <w:trHeight w:val="409"/>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 Jiawei Wang</w:t>
            </w:r>
          </w:p>
        </w:tc>
        <w:tc>
          <w:tcPr>
            <w:tcW w:w="24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2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Jiawei Wang</w:t>
            </w:r>
          </w:p>
        </w:tc>
        <w:tc>
          <w:tcPr>
            <w:tcW w:w="24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9"/>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Campbell Becher</w:t>
            </w:r>
          </w:p>
        </w:tc>
        <w:tc>
          <w:tcPr>
            <w:tcW w:w="24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2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Campbell Becher</w:t>
            </w:r>
          </w:p>
        </w:tc>
        <w:tc>
          <w:tcPr>
            <w:tcW w:w="24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9"/>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Koti Meka</w:t>
            </w:r>
          </w:p>
        </w:tc>
        <w:tc>
          <w:tcPr>
            <w:tcW w:w="24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Executive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2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Koti Meka</w:t>
            </w:r>
          </w:p>
        </w:tc>
        <w:tc>
          <w:tcPr>
            <w:tcW w:w="24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tc>
        <w:tc>
          <w:tcPr>
            <w:tcW w:w="2240" w:type="dxa"/>
            <w:vAlign w:val="bottom"/>
          </w:tcPr>
          <w:p>
            <w:pPr>
              <w:spacing w:after="0"/>
              <w:rPr>
                <w:sz w:val="19"/>
                <w:szCs w:val="19"/>
                <w:color w:val="auto"/>
              </w:rPr>
            </w:pPr>
          </w:p>
        </w:tc>
      </w:tr>
      <w:tr>
        <w:trPr>
          <w:trHeight w:val="409"/>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Kevin Chen</w:t>
            </w:r>
          </w:p>
        </w:tc>
        <w:tc>
          <w:tcPr>
            <w:tcW w:w="24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2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Kevin Chen</w:t>
            </w:r>
          </w:p>
        </w:tc>
        <w:tc>
          <w:tcPr>
            <w:tcW w:w="24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9"/>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Jie Sheng</w:t>
            </w:r>
          </w:p>
        </w:tc>
        <w:tc>
          <w:tcPr>
            <w:tcW w:w="24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2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Jie Sheng</w:t>
            </w:r>
          </w:p>
        </w:tc>
        <w:tc>
          <w:tcPr>
            <w:tcW w:w="24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9"/>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Chad Chen</w:t>
            </w:r>
          </w:p>
        </w:tc>
        <w:tc>
          <w:tcPr>
            <w:tcW w:w="24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2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Chad Chen</w:t>
            </w:r>
          </w:p>
        </w:tc>
        <w:tc>
          <w:tcPr>
            <w:tcW w:w="24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9"/>
        </w:trPr>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480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26035</wp:posOffset>
            </wp:positionV>
            <wp:extent cx="7133590" cy="280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3590" cy="28003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4840" w:space="720"/>
            <w:col w:w="5680"/>
          </w:cols>
          <w:pgMar w:left="320" w:top="678" w:right="339" w:bottom="1440" w:gutter="0" w:footer="0" w:header="0"/>
        </w:sectPr>
      </w:pPr>
    </w:p>
    <w:p>
      <w:pPr>
        <w:jc w:val="both"/>
        <w:ind w:left="760" w:hanging="760"/>
        <w:spacing w:after="0" w:line="255"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27">
        <w:r>
          <w:rPr>
            <w:rFonts w:ascii="Times New Roman" w:cs="Times New Roman" w:eastAsia="Times New Roman" w:hAnsi="Times New Roman"/>
            <w:sz w:val="18"/>
            <w:szCs w:val="18"/>
            <w:u w:val="single" w:color="auto"/>
            <w:color w:val="0000EE"/>
          </w:rPr>
          <w:t>Amended and Restated Certificate of Incorporation of Ritter Pharmaceuticals, Inc. (incorporated by reference to Exhibit 3.1 of our current report</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on Form 8-K, filed with the SEC on July 1, 2015 (File No. 001-37428))</w:t>
        </w:r>
      </w:hyperlink>
    </w:p>
    <w:p>
      <w:pPr>
        <w:spacing w:after="0" w:line="1" w:lineRule="exact"/>
        <w:rPr>
          <w:sz w:val="20"/>
          <w:szCs w:val="20"/>
          <w:color w:val="auto"/>
        </w:rPr>
      </w:pPr>
    </w:p>
    <w:p>
      <w:pPr>
        <w:jc w:val="both"/>
        <w:ind w:left="760" w:hanging="760"/>
        <w:spacing w:after="0" w:line="247"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28">
        <w:r>
          <w:rPr>
            <w:rFonts w:ascii="Times New Roman" w:cs="Times New Roman" w:eastAsia="Times New Roman" w:hAnsi="Times New Roman"/>
            <w:sz w:val="18"/>
            <w:szCs w:val="18"/>
            <w:u w:val="single" w:color="auto"/>
            <w:color w:val="0000EE"/>
          </w:rPr>
          <w:t>Certificate of Amendment to the Amended and Restated Certificate of Incorporation (incorporated by reference to Exhibit 3.1 of our current report</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on Form 8-K, filed with the SEC on September 15, 2017 (File No. 001-37428))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33590" cy="271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3590" cy="271145"/>
                    </a:xfrm>
                    <a:prstGeom prst="rect">
                      <a:avLst/>
                    </a:prstGeom>
                    <a:noFill/>
                  </pic:spPr>
                </pic:pic>
              </a:graphicData>
            </a:graphic>
          </wp:anchor>
        </w:drawing>
      </w:r>
    </w:p>
    <w:p>
      <w:pPr>
        <w:jc w:val="both"/>
        <w:ind w:left="760" w:hanging="760"/>
        <w:spacing w:after="0" w:line="247"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30">
        <w:r>
          <w:rPr>
            <w:rFonts w:ascii="Times New Roman" w:cs="Times New Roman" w:eastAsia="Times New Roman" w:hAnsi="Times New Roman"/>
            <w:sz w:val="18"/>
            <w:szCs w:val="18"/>
            <w:u w:val="single" w:color="auto"/>
            <w:color w:val="0000EE"/>
          </w:rPr>
          <w:t>Certificate of Amendment to the Amended and Restated Certificate of Incorporation (incorporated by reference to Exhibit 3.1 of our current report</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on Form 8-K, filed with the SEC on March 22, 2018 (File No. 001-37428))</w:t>
        </w:r>
      </w:hyperlink>
    </w:p>
    <w:p>
      <w:pPr>
        <w:spacing w:after="0" w:line="1" w:lineRule="exact"/>
        <w:rPr>
          <w:sz w:val="20"/>
          <w:szCs w:val="20"/>
          <w:color w:val="auto"/>
        </w:rPr>
      </w:pPr>
    </w:p>
    <w:p>
      <w:pPr>
        <w:jc w:val="both"/>
        <w:ind w:left="760" w:hanging="760"/>
        <w:spacing w:after="0" w:line="247"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31">
        <w:r>
          <w:rPr>
            <w:rFonts w:ascii="Times New Roman" w:cs="Times New Roman" w:eastAsia="Times New Roman" w:hAnsi="Times New Roman"/>
            <w:sz w:val="18"/>
            <w:szCs w:val="18"/>
            <w:u w:val="single" w:color="auto"/>
            <w:color w:val="0000EE"/>
          </w:rPr>
          <w:t>Certificate of Designation of Preferences, Rights and Limitations of Series Alpha Preferred Stock of the Company, filed with the Delaware</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Secretary of State on May 29, 2020 (incorporated by reference to Exhibit 3.1 of our current report on Form 8-K, filed with the SEC on May 29,</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2020 (File No. 001-37428))</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3590" cy="271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33590" cy="271145"/>
                    </a:xfrm>
                    <a:prstGeom prst="rect">
                      <a:avLst/>
                    </a:prstGeom>
                    <a:noFill/>
                  </pic:spPr>
                </pic:pic>
              </a:graphicData>
            </a:graphic>
          </wp:anchor>
        </w:drawing>
      </w:r>
    </w:p>
    <w:p>
      <w:pPr>
        <w:jc w:val="both"/>
        <w:ind w:left="760" w:hanging="760"/>
        <w:spacing w:after="0" w:line="247"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33">
        <w:r>
          <w:rPr>
            <w:rFonts w:ascii="Times New Roman" w:cs="Times New Roman" w:eastAsia="Times New Roman" w:hAnsi="Times New Roman"/>
            <w:sz w:val="18"/>
            <w:szCs w:val="18"/>
            <w:u w:val="single" w:color="auto"/>
            <w:color w:val="0000EE"/>
          </w:rPr>
          <w:t>Certificate of Amendment to the Certificate of Incorporation of the Company, filed with the Delaware Secretary of State on May 22, 2020</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(incorporated by reference to Exhibit 3.2 of our current report on Form 8-K, filed with the SEC on May 29, 2020 (File No. 001-37428))</w:t>
        </w:r>
      </w:hyperlink>
    </w:p>
    <w:p>
      <w:pPr>
        <w:spacing w:after="0" w:line="1" w:lineRule="exact"/>
        <w:rPr>
          <w:sz w:val="20"/>
          <w:szCs w:val="20"/>
          <w:color w:val="auto"/>
        </w:rPr>
      </w:pPr>
    </w:p>
    <w:p>
      <w:pPr>
        <w:jc w:val="both"/>
        <w:ind w:left="760" w:hanging="760"/>
        <w:spacing w:after="0" w:line="247"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34">
        <w:r>
          <w:rPr>
            <w:rFonts w:ascii="Times New Roman" w:cs="Times New Roman" w:eastAsia="Times New Roman" w:hAnsi="Times New Roman"/>
            <w:sz w:val="18"/>
            <w:szCs w:val="18"/>
            <w:u w:val="single" w:color="auto"/>
            <w:color w:val="0000EE"/>
          </w:rPr>
          <w:t>Certificate of Merger, filed with the Delaware Secretary of State on May 22, 2020 (incorporated by reference to Exhibit 3.3 of our current report</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on Form 8-K, filed with the SEC on May 29, 2020 (File No. 001-37428))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33590" cy="271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33590" cy="271145"/>
                    </a:xfrm>
                    <a:prstGeom prst="rect">
                      <a:avLst/>
                    </a:prstGeom>
                    <a:noFill/>
                  </pic:spPr>
                </pic:pic>
              </a:graphicData>
            </a:graphic>
          </wp:anchor>
        </w:drawing>
      </w:r>
    </w:p>
    <w:p>
      <w:pPr>
        <w:jc w:val="both"/>
        <w:ind w:left="760" w:hanging="760"/>
        <w:spacing w:after="0" w:line="247"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36">
        <w:r>
          <w:rPr>
            <w:rFonts w:ascii="Times New Roman" w:cs="Times New Roman" w:eastAsia="Times New Roman" w:hAnsi="Times New Roman"/>
            <w:sz w:val="18"/>
            <w:szCs w:val="18"/>
            <w:u w:val="single" w:color="auto"/>
            <w:color w:val="0000EE"/>
          </w:rPr>
          <w:t>Certificate of Amendment to the Certificate of Incorporation of the Company, filed with the Delaware Secretary of State on May 22, 2020</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(incorporated by reference to Exhibit 3.4 of our current report on Form 8-K, filed with the SEC on May 29, 2020 (File No. 001-37428))</w:t>
        </w:r>
      </w:hyperlink>
    </w:p>
    <w:p>
      <w:pPr>
        <w:spacing w:after="0" w:line="1" w:lineRule="exact"/>
        <w:rPr>
          <w:sz w:val="20"/>
          <w:szCs w:val="20"/>
          <w:color w:val="auto"/>
        </w:rPr>
      </w:pPr>
    </w:p>
    <w:p>
      <w:pPr>
        <w:jc w:val="both"/>
        <w:ind w:left="760" w:hanging="760"/>
        <w:spacing w:after="0" w:line="247"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37">
        <w:r>
          <w:rPr>
            <w:rFonts w:ascii="Times New Roman" w:cs="Times New Roman" w:eastAsia="Times New Roman" w:hAnsi="Times New Roman"/>
            <w:sz w:val="18"/>
            <w:szCs w:val="18"/>
            <w:u w:val="single" w:color="auto"/>
            <w:color w:val="0000EE"/>
          </w:rPr>
          <w:t>Amended and Restated Bylaws of the Company, as of August 10, 2021 (incorporated by reference to Exhibit 3.1 of our current report on Form 8-</w:t>
        </w:r>
      </w:hyperlink>
      <w:hyperlink r:id="rId37">
        <w:r>
          <w:rPr>
            <w:rFonts w:ascii="Times New Roman" w:cs="Times New Roman" w:eastAsia="Times New Roman" w:hAnsi="Times New Roman"/>
            <w:sz w:val="18"/>
            <w:szCs w:val="18"/>
            <w:u w:val="single" w:color="auto"/>
            <w:color w:val="0000EE"/>
          </w:rPr>
          <w:t>K, filed with the SEC on August 13, 2021 (File No. 001-37428))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33590" cy="407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133590" cy="407035"/>
                    </a:xfrm>
                    <a:prstGeom prst="rect">
                      <a:avLst/>
                    </a:prstGeom>
                    <a:noFill/>
                  </pic:spPr>
                </pic:pic>
              </a:graphicData>
            </a:graphic>
          </wp:anchor>
        </w:drawing>
      </w:r>
    </w:p>
    <w:p>
      <w:pPr>
        <w:spacing w:after="0"/>
        <w:tabs>
          <w:tab w:leader="none" w:pos="7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39">
        <w:r>
          <w:rPr>
            <w:rFonts w:ascii="Times New Roman" w:cs="Times New Roman" w:eastAsia="Times New Roman" w:hAnsi="Times New Roman"/>
            <w:sz w:val="17"/>
            <w:szCs w:val="17"/>
            <w:u w:val="single" w:color="auto"/>
            <w:color w:val="0000EE"/>
          </w:rPr>
          <w:t>Certificate of Amendment to the Amended and Restated Certificate of Incorporation, filed with the Delaware Secretary of State on November 21,</w:t>
        </w:r>
      </w:hyperlink>
    </w:p>
    <w:p>
      <w:pPr>
        <w:spacing w:after="0" w:line="7"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39">
        <w:r>
          <w:rPr>
            <w:rFonts w:ascii="Times New Roman" w:cs="Times New Roman" w:eastAsia="Times New Roman" w:hAnsi="Times New Roman"/>
            <w:sz w:val="18"/>
            <w:szCs w:val="18"/>
            <w:u w:val="single" w:color="auto"/>
            <w:color w:val="0000EE"/>
          </w:rPr>
          <w:t>2022 (incorporated by reference to Exhibit 3.1 of our current report on Form 8-K, filed with the SEC on November 22, 2022 (File No. 001-</w:t>
        </w:r>
      </w:hyperlink>
    </w:p>
    <w:p>
      <w:pPr>
        <w:spacing w:after="0" w:line="7"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39">
        <w:r>
          <w:rPr>
            <w:rFonts w:ascii="Times New Roman" w:cs="Times New Roman" w:eastAsia="Times New Roman" w:hAnsi="Times New Roman"/>
            <w:sz w:val="18"/>
            <w:szCs w:val="18"/>
            <w:u w:val="single" w:color="auto"/>
            <w:color w:val="0000EE"/>
          </w:rPr>
          <w:t>37428))</w:t>
        </w:r>
      </w:hyperlink>
    </w:p>
    <w:p>
      <w:pPr>
        <w:spacing w:after="0" w:line="7" w:lineRule="exact"/>
        <w:rPr>
          <w:sz w:val="20"/>
          <w:szCs w:val="20"/>
          <w:color w:val="auto"/>
        </w:rPr>
      </w:pPr>
    </w:p>
    <w:p>
      <w:pPr>
        <w:jc w:val="both"/>
        <w:ind w:left="760" w:hanging="760"/>
        <w:spacing w:after="0" w:line="247"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40">
        <w:r>
          <w:rPr>
            <w:rFonts w:ascii="Times New Roman" w:cs="Times New Roman" w:eastAsia="Times New Roman" w:hAnsi="Times New Roman"/>
            <w:sz w:val="18"/>
            <w:szCs w:val="18"/>
            <w:u w:val="single" w:color="auto"/>
            <w:color w:val="0000EE"/>
          </w:rPr>
          <w:t>Certificate of Designation of Series A2 Preferred Stock filed with the Secretary of State of Delaware on November 18, 2024 (incorporated by</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reference to Exhibit 3.2 of our current report on Form 8-K, filed with the SEC on November 21, 2024 (File No. 001-37428))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33590" cy="407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133590" cy="407035"/>
                    </a:xfrm>
                    <a:prstGeom prst="rect">
                      <a:avLst/>
                    </a:prstGeom>
                    <a:noFill/>
                  </pic:spPr>
                </pic:pic>
              </a:graphicData>
            </a:graphic>
          </wp:anchor>
        </w:drawing>
      </w:r>
    </w:p>
    <w:p>
      <w:pPr>
        <w:jc w:val="both"/>
        <w:ind w:left="760" w:hanging="760"/>
        <w:spacing w:after="0" w:line="247"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r:id="rId42">
        <w:r>
          <w:rPr>
            <w:rFonts w:ascii="Times New Roman" w:cs="Times New Roman" w:eastAsia="Times New Roman" w:hAnsi="Times New Roman"/>
            <w:sz w:val="18"/>
            <w:szCs w:val="18"/>
            <w:u w:val="single" w:color="auto"/>
            <w:color w:val="0000EE"/>
          </w:rPr>
          <w:t>Second Amended and Restated Certificate of Designation of Preferences, Rights and Limitations of Series A-3 Preferred, as filed with the</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Secretary of State of the State of Delaware on July 28, 2025 (incorporated by reference to Exhibit 3.1 of our current report on Form 8-K, filed with</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the SEC on July 28, 2025 (File No. 001-37428))</w:t>
        </w:r>
      </w:hyperlink>
    </w:p>
    <w:p>
      <w:pPr>
        <w:spacing w:after="0" w:line="2" w:lineRule="exact"/>
        <w:rPr>
          <w:rFonts w:ascii="Times New Roman" w:cs="Times New Roman" w:eastAsia="Times New Roman" w:hAnsi="Times New Roman"/>
          <w:sz w:val="18"/>
          <w:szCs w:val="18"/>
          <w:u w:val="single" w:color="auto"/>
          <w:color w:val="0000EE"/>
        </w:rPr>
      </w:pPr>
    </w:p>
    <w:p>
      <w:pPr>
        <w:jc w:val="both"/>
        <w:ind w:left="760" w:hanging="760"/>
        <w:spacing w:after="0" w:line="247"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4.12</w:t>
      </w:r>
      <w:r>
        <w:rPr>
          <w:sz w:val="20"/>
          <w:szCs w:val="20"/>
          <w:color w:val="auto"/>
        </w:rPr>
        <w:tab/>
      </w:r>
      <w:hyperlink r:id="rId43">
        <w:r>
          <w:rPr>
            <w:rFonts w:ascii="Times New Roman" w:cs="Times New Roman" w:eastAsia="Times New Roman" w:hAnsi="Times New Roman"/>
            <w:sz w:val="18"/>
            <w:szCs w:val="18"/>
            <w:u w:val="single" w:color="auto"/>
            <w:color w:val="0000EE"/>
          </w:rPr>
          <w:t>Certification of Stock Designation of Rights and Preferences of Series B Convertible Preferred Stock as filed with the Secretary of State of</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Delaware on September 29, 2025 (incorporated by reference to Exhibit 4.1 of our current report on Form 8-K, filed with the SEC on September</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25, 2025 (File No. 001-37428))</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3590" cy="271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7133590" cy="271145"/>
                    </a:xfrm>
                    <a:prstGeom prst="rect">
                      <a:avLst/>
                    </a:prstGeom>
                    <a:noFill/>
                  </pic:spPr>
                </pic:pic>
              </a:graphicData>
            </a:graphic>
          </wp:anchor>
        </w:drawing>
      </w:r>
    </w:p>
    <w:p>
      <w:pPr>
        <w:jc w:val="both"/>
        <w:ind w:left="760" w:hanging="760"/>
        <w:spacing w:after="0" w:line="247"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4.13</w:t>
      </w:r>
      <w:r>
        <w:rPr>
          <w:sz w:val="20"/>
          <w:szCs w:val="20"/>
          <w:color w:val="auto"/>
        </w:rPr>
        <w:tab/>
      </w:r>
      <w:hyperlink r:id="rId45">
        <w:r>
          <w:rPr>
            <w:rFonts w:ascii="Times New Roman" w:cs="Times New Roman" w:eastAsia="Times New Roman" w:hAnsi="Times New Roman"/>
            <w:sz w:val="18"/>
            <w:szCs w:val="18"/>
            <w:u w:val="single" w:color="auto"/>
            <w:color w:val="0000EE"/>
          </w:rPr>
          <w:t>Certificate of Amendment to the Certificate of Incorporation of the Company, filed with the Delaware Secretary of State on November 14, 2025</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(incorporated by reference to Exhibit 3.1 of our current report on Form 8-K, filed with the SEC on November 17, 2025 (File No. 001-37428))</w:t>
        </w:r>
      </w:hyperlink>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3590" cy="135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2025 Equity Incentive Plan</w:t>
      </w:r>
    </w:p>
    <w:p>
      <w:pPr>
        <w:spacing w:after="0" w:line="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Loeb &amp; Loeb LLP (contained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3590" cy="135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HTL International, LLC, Independent Registered Public Accounting Firm</w:t>
      </w:r>
    </w:p>
    <w:p>
      <w:pPr>
        <w:spacing w:after="0" w:line="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u w:val="single" w:color="auto"/>
          <w:color w:val="0000EE"/>
        </w:rPr>
        <w:t>Consent of WithumSmith+Brown, PC,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3590" cy="135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in the signature page)</w:t>
      </w:r>
    </w:p>
    <w:p>
      <w:pPr>
        <w:spacing w:after="0" w:line="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2" w:lineRule="exact"/>
        <w:rPr>
          <w:sz w:val="20"/>
          <w:szCs w:val="20"/>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335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1238250" cy="1221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1238250" cy="1221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820" w:type="dxa"/>
        <w:tblCellMar>
          <w:top w:w="0" w:type="dxa"/>
          <w:left w:w="0" w:type="dxa"/>
          <w:bottom w:w="0" w:type="dxa"/>
          <w:right w:w="0" w:type="dxa"/>
        </w:tblCellMar>
      </w:tblPr>
      <w:tr>
        <w:trPr>
          <w:trHeight w:val="214"/>
        </w:trPr>
        <w:tc>
          <w:tcPr>
            <w:tcW w:w="3040" w:type="dxa"/>
            <w:vAlign w:val="bottom"/>
          </w:tcPr>
          <w:p>
            <w:pPr>
              <w:spacing w:after="0"/>
              <w:rPr>
                <w:sz w:val="18"/>
                <w:szCs w:val="18"/>
                <w:color w:val="auto"/>
              </w:rPr>
            </w:pPr>
          </w:p>
        </w:tc>
        <w:tc>
          <w:tcPr>
            <w:tcW w:w="226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212.407.4000</w:t>
            </w:r>
          </w:p>
        </w:tc>
      </w:tr>
      <w:tr>
        <w:trPr>
          <w:trHeight w:val="21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345 Park Avenue</w:t>
            </w:r>
          </w:p>
        </w:tc>
        <w:tc>
          <w:tcPr>
            <w:tcW w:w="226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Main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212.407.4000</w:t>
            </w:r>
          </w:p>
        </w:tc>
      </w:tr>
      <w:tr>
        <w:trPr>
          <w:trHeight w:val="237"/>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10154</w:t>
            </w:r>
          </w:p>
        </w:tc>
        <w:tc>
          <w:tcPr>
            <w:tcW w:w="226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Fax</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212.407.4000</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AIxCrypto Holdings,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5857 Owens Avenue, Suite 300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Carlsbad, California 92008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served as counsel to AIxCrypto Holdings, Inc., a Delaware corporation (the “Company”), in connection with the preparation of the Company’s Registration Statement on Form S-8 (the “Registration Statement”) to be filed with the Securities and Exchange Commission under the Securities Act of 1933, as amended (the “Act”), registering the issuance of 1,047,865 shares of common stock, par value $0.001 per share (the “Shares”), of the Company issuable pursuant to the Company’s 2025 Equity Incentive Plan (the “Equity Incentive Plan”).</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examined and relied upon originals or copies, certified or otherwise identified to our satisfaction, of (i) the Company’s amended and restated certificate of incorporation, as amended, (ii) the Company’s amended and restated bylaws, and (iii) the Registration Statement, including all exhibits filed therewith, and have also examined and relied upon minutes of meetings and/or resolutions of the board of directors of the Company as provided to us by the Company, and such other documents as we have deemed necessary for purposes of rendering the opinion hereinafter set forth.</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to the foregoing, we have relied as to matters of fact upon the representations made by the Company and its representatives. We have assumed the genuineness of all signatures, the authenticity of all documents submitted to us as originals, and the conformity to authentic original documents of all copies submitted to us as conformed and certified or reproduced copies.</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Based upon the foregoing, it is our opinion that the Shares have been duly authorized by the Company, and when issued and delivered pursuant to and in accordance with the terms of the Equity Incentive Plan, and the awards granted under the Equity Incentive Plan, will be validly issued, fully paid and non-assessable.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we express herein are limited to matters involving the Delaware General Corporation Law.</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furnishing this opinion in connection with the filing of the Registration Statement, and this opinion is not to be relied upon for any other purpose without our prior written consent. We consent to the reference made to our firm in the Registration Statement and to the filing of this opinion as an exhibit to the Registration Statement. In giving this consent, we do not hereby admit that we are in the category of persons whose consent is required under Section 7 of the Act, or the rules and regulations promulgated thereunder.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Loeb &amp; Loeb LLP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35712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New York Chicago Nashville Washington, DC San Francisco Beijing Hong Kong www.loeb.com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United States offices, a limited liability partnership including professional corporations. For Hong Kong office, a limited liability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335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AIXCRYPTO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 INTRODUCTION</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 Purposes. </w:t>
      </w:r>
      <w:r>
        <w:rPr>
          <w:rFonts w:ascii="Times New Roman" w:cs="Times New Roman" w:eastAsia="Times New Roman" w:hAnsi="Times New Roman"/>
          <w:sz w:val="18"/>
          <w:szCs w:val="18"/>
          <w:color w:val="auto"/>
        </w:rPr>
        <w:t>The purposes of the AIxCrypto Holdings, Inc. 2025 Equity Incentive Plan (this “Plan”) are (i) to align the interests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and the recipients of awards under this Plan by increasing the proprietary interest of such recipients in the Company’s growth and success, (ii) to advance the interests of the Company by attracting and retaining Non-Employee Directors, officers, other employees, consultants, independent contractors and agents and (iii) to motivate such persons to act in the long-term best interests of the Company and its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Certain Definitions.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Acquisition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shall mean the written or electronic agreement evidencing an award hereunder between the Company and the recipient of such award.</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0"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color w:val="auto"/>
        </w:rPr>
        <w:t>” shall mean the Compensation Committee of the Board, or a subcommittee thereof, or such other committee designated by the Board, in each case, consisting of two or more members of the Board, each of whom is intended to be (i) a “Non-Employee Director” within the meaning of Rule 16b-3 under the Exchange Act and (ii) “independent” within the meaning of the rules of the NASDAQ Capital Market or, if the Common Stock is not listed on the NASDAQ Capital Market, within the meaning of the rules of the principal stock exchange on which the Common Stock is then traded.</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shall mean the shares of common stock, par value $0.001 per share, of the Company, and all rights appurtenant thereto.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shall mean AIxCrypto Holdings, Inc., a corporation organized under the laws of the State of Delaware, or any successor thereto.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Data</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0"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Fair Market Value</w:t>
      </w:r>
      <w:r>
        <w:rPr>
          <w:rFonts w:ascii="Times New Roman" w:cs="Times New Roman" w:eastAsia="Times New Roman" w:hAnsi="Times New Roman"/>
          <w:sz w:val="18"/>
          <w:szCs w:val="18"/>
          <w:color w:val="auto"/>
        </w:rPr>
        <w:t xml:space="preserve">” shall mean the closing transaction price of a share of Common Stock as reported on the NASDAQ Capital Market on the date as of which such value is being determined or, if the Common Stock is not listed on the NASDAQ Capital Market, the closing transaction price of a share of Common Stock on the principal national stock exchange on which the Common Stock is traded on the date as of which such value is being determined or, if there shall be no reported transactions for such date, on the next preceding date for which transactions were reported;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Common Stock is not listed on a national stock exchange or if Fair Market Value for any date cannot be so determined, Fair Market Value shall be determined by the Committee by whatever means or method as the Committee, in the good faith exercise of its discretion, shall at such time deem appropriate and in compliance with Section 409A of the Code.</w:t>
      </w:r>
    </w:p>
    <w:p>
      <w:pPr>
        <w:spacing w:after="0" w:line="182"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Free-Standing SAR</w:t>
      </w:r>
      <w:r>
        <w:rPr>
          <w:rFonts w:ascii="Times New Roman" w:cs="Times New Roman" w:eastAsia="Times New Roman" w:hAnsi="Times New Roman"/>
          <w:sz w:val="18"/>
          <w:szCs w:val="18"/>
          <w:color w:val="auto"/>
        </w:rPr>
        <w:t>” shall mean an SAR which is not granted in tandem with, or by reference to, an option, which entitles the holder thereof to receive, upon exercise, shares of Common Stock (which may be Restricted Stock) or, to the extent set forth in the applicable Agreement, cash or a combination thereof, with an aggregate value equal to the excess of the Fair Market Value of one (1) share of Common Stock on the date of exercise over the base price of such SAR, multiplied by the number of such SARs which are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260985</wp:posOffset>
            </wp:positionV>
            <wp:extent cx="71335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0" w:name="page11"/>
    <w:bookmarkEnd w:id="10"/>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Incentive Stock Option</w:t>
      </w:r>
      <w:r>
        <w:rPr>
          <w:rFonts w:ascii="Times New Roman" w:cs="Times New Roman" w:eastAsia="Times New Roman" w:hAnsi="Times New Roman"/>
          <w:sz w:val="18"/>
          <w:szCs w:val="18"/>
          <w:color w:val="auto"/>
        </w:rPr>
        <w:t>” shall mean an option to purchase shares of Common Stock that meets the requirements of Section 422 of the Code, or any successor provision, which is intended by the Committee to constitute an Incentive Stock Option.</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Non-Employee Director</w:t>
      </w:r>
      <w:r>
        <w:rPr>
          <w:rFonts w:ascii="Times New Roman" w:cs="Times New Roman" w:eastAsia="Times New Roman" w:hAnsi="Times New Roman"/>
          <w:sz w:val="18"/>
          <w:szCs w:val="18"/>
          <w:color w:val="auto"/>
        </w:rPr>
        <w:t>” shall mean any director of the Company who is not an officer or employee of the Company or any Subsidiary.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Nonqualified Stock Option</w:t>
      </w:r>
      <w:r>
        <w:rPr>
          <w:rFonts w:ascii="Times New Roman" w:cs="Times New Roman" w:eastAsia="Times New Roman" w:hAnsi="Times New Roman"/>
          <w:sz w:val="18"/>
          <w:szCs w:val="18"/>
          <w:color w:val="auto"/>
        </w:rPr>
        <w:t>” shall mean an option to purchase shares of Common Stock which is not an Incentive Stock Option.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Other Stock Award</w:t>
      </w:r>
      <w:r>
        <w:rPr>
          <w:rFonts w:ascii="Times New Roman" w:cs="Times New Roman" w:eastAsia="Times New Roman" w:hAnsi="Times New Roman"/>
          <w:sz w:val="18"/>
          <w:szCs w:val="18"/>
          <w:color w:val="auto"/>
        </w:rPr>
        <w:t xml:space="preserve">” shall mean an award granted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Plan.</w:t>
      </w:r>
    </w:p>
    <w:p>
      <w:pPr>
        <w:spacing w:after="0" w:line="220"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Performance Award</w:t>
      </w:r>
      <w:r>
        <w:rPr>
          <w:rFonts w:ascii="Times New Roman" w:cs="Times New Roman" w:eastAsia="Times New Roman" w:hAnsi="Times New Roman"/>
          <w:sz w:val="18"/>
          <w:szCs w:val="18"/>
          <w:color w:val="auto"/>
        </w:rPr>
        <w:t>” shall mean a right to receive an amount of cash, Common Stock, or a combination of both, contingent upon the attainment of specified Performance Measures within a specified Performance Period.</w:t>
      </w:r>
    </w:p>
    <w:p>
      <w:pPr>
        <w:spacing w:after="0" w:line="155" w:lineRule="exact"/>
        <w:rPr>
          <w:sz w:val="20"/>
          <w:szCs w:val="20"/>
          <w:color w:val="auto"/>
        </w:rPr>
      </w:pPr>
    </w:p>
    <w:p>
      <w:pPr>
        <w:jc w:val="both"/>
        <w:ind w:firstLine="641"/>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Performance Measures</w:t>
      </w:r>
      <w:r>
        <w:rPr>
          <w:rFonts w:ascii="Times New Roman" w:cs="Times New Roman" w:eastAsia="Times New Roman" w:hAnsi="Times New Roman"/>
          <w:sz w:val="18"/>
          <w:szCs w:val="18"/>
          <w:color w:val="auto"/>
        </w:rPr>
        <w:t>” shall mean the criteria and objectives, established by the Committee, which shall be satisfied or met (i) as a condition to the grant or exercisability of all or a portion of an option or SAR or (ii) during the applicable Restriction Period or Performance Period as a condition to the vesting of the holder’s interest, in the case of a Restricted Stock Award, of the shares of Common Stock subject to such award, or, in the case of a Restricted Stock Unit Award, Other Stock Award or Performance Award, to the holder’s receipt of the shares of Common Stock subject to such award or of payment with respect to such award. One or more of the following business criteria for the Company, on a consolidated basis, and/or for specified Subsidiaries, business or geographical units or operating areas of the Company (except with respect to the total shareholder return and earnings per share criteria) or individual basis, may be used by the Committee in establishing Performance Measures under this Plan: the attainment by a share of Common Stock of a specified Fair Market Value for a specified period of time; increase in stockholder value; earnings per share; return on or net assets; return on equity; return on investments; return on capital or invested capital; total stockholder return; earnings or income of the Company before or after taxes and/or interest; earnings before interest, taxes, depreciation and amortization (“</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EBITDA margin; operating income; revenues; operating expenses, attainment of expense levels or cost reduction goals; market share; cash flow, cash flow per share, cash flow margin or free cash flow; interest expense; economic value created; gross profit or margin; operating profit or margin; net cash provided by operations; price-to-earnings growth; and strategic business criteria, consisting of one or more objectives based on meeting specified goals relating to market penetration, customer acquisition, business expansion, cost targets, customer satisfaction, reductions in errors and omissions, reductions in lost business, management of employment practices and employee benefits, supervision of litigation, supervision of information technology, quality and quality audit scores, efficiency, commercial launch of new products, completion of projects, and closing of acquisitions, divestitures, financings or other transactions, or such other goals as the Committee may determine whether or not listed herein. Each such goal may be determined on a pre-tax or post-tax basis or on an absolute or relative basis, and may include comparisons based on current internal targets, the past performance of the Company (including the performance of one or more Subsidiaries, divisions, or operating units) or the past or current performance of other companies or market indices (or a combination of such past and current performance). In addition to the ratios specifically enumerated above, performance goals may include comparisons relating to capital (including, but not limited to, the cost of capital), shareholders’ equity, shares outstanding, assets or net assets, sales, or any combination thereof. In establishing a Performance Measure or determining the achievement of a Performance Measure, the Committee may provide that achievement of the applicable Performance Measures may be amended or adjusted to include or exclude components of any Performance Measure,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 Performance Measures shall be subject to such other special rules and conditions as the Committee may establish at any time.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1" w:name="page12"/>
    <w:bookmarkEnd w:id="11"/>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Performance Period</w:t>
      </w:r>
      <w:r>
        <w:rPr>
          <w:rFonts w:ascii="Times New Roman" w:cs="Times New Roman" w:eastAsia="Times New Roman" w:hAnsi="Times New Roman"/>
          <w:sz w:val="18"/>
          <w:szCs w:val="18"/>
          <w:color w:val="auto"/>
        </w:rPr>
        <w:t>” shall mean any period designated by the Committee during which (i) the Performance Measures applicable to an award shall be measured and (ii) the conditions to vesting applicable to an award shall remain in effect.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Restricted Stock</w:t>
      </w:r>
      <w:r>
        <w:rPr>
          <w:rFonts w:ascii="Times New Roman" w:cs="Times New Roman" w:eastAsia="Times New Roman" w:hAnsi="Times New Roman"/>
          <w:sz w:val="18"/>
          <w:szCs w:val="18"/>
          <w:color w:val="auto"/>
        </w:rPr>
        <w:t>” shall mean shares of Common Stock which are subject to a Restriction Period and which may, in addition thereto, be subject to the attainment of specified Performance Measures within a specified Performance Period.</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Restricted Stock Award</w:t>
      </w:r>
      <w:r>
        <w:rPr>
          <w:rFonts w:ascii="Times New Roman" w:cs="Times New Roman" w:eastAsia="Times New Roman" w:hAnsi="Times New Roman"/>
          <w:sz w:val="18"/>
          <w:szCs w:val="18"/>
          <w:color w:val="auto"/>
        </w:rPr>
        <w:t>” shall mean an award of Restricted Stock under this Plan.</w:t>
      </w:r>
    </w:p>
    <w:p>
      <w:pPr>
        <w:spacing w:after="0" w:line="220" w:lineRule="exact"/>
        <w:rPr>
          <w:sz w:val="20"/>
          <w:szCs w:val="20"/>
          <w:color w:val="auto"/>
        </w:rPr>
      </w:pPr>
    </w:p>
    <w:p>
      <w:pPr>
        <w:jc w:val="both"/>
        <w:ind w:firstLine="641"/>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Restricted Stock Unit</w:t>
      </w:r>
      <w:r>
        <w:rPr>
          <w:rFonts w:ascii="Times New Roman" w:cs="Times New Roman" w:eastAsia="Times New Roman" w:hAnsi="Times New Roman"/>
          <w:sz w:val="17"/>
          <w:szCs w:val="17"/>
          <w:color w:val="auto"/>
        </w:rPr>
        <w:t>” shall mean a right to receive one (1) share of Common Stock or, in lieu thereof and to the extent set forth in the applicable Agreement, the Fair Market Value of such share of Common Stock in cash, which shall be contingent upon the expiration of a specified Restriction Period and which may, in addition thereto, be contingent upon the attainment of specified Performance Measures within a specified Performance Period.</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Restricted Stock Unit Award</w:t>
      </w:r>
      <w:r>
        <w:rPr>
          <w:rFonts w:ascii="Times New Roman" w:cs="Times New Roman" w:eastAsia="Times New Roman" w:hAnsi="Times New Roman"/>
          <w:sz w:val="18"/>
          <w:szCs w:val="18"/>
          <w:color w:val="auto"/>
        </w:rPr>
        <w:t>” shall mean an award of Restricted Stock Units under this Plan.</w:t>
      </w:r>
    </w:p>
    <w:p>
      <w:pPr>
        <w:spacing w:after="0" w:line="220"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Restriction Period</w:t>
      </w:r>
      <w:r>
        <w:rPr>
          <w:rFonts w:ascii="Times New Roman" w:cs="Times New Roman" w:eastAsia="Times New Roman" w:hAnsi="Times New Roman"/>
          <w:sz w:val="18"/>
          <w:szCs w:val="18"/>
          <w:color w:val="auto"/>
        </w:rPr>
        <w:t>” shall mean any period designated by the Committee during which (i) the Common Stock subject to a Restricted Stock Award may not be sold, transferred, assigned, pledged, hypothecated or otherwise encumbered or disposed of, except as provided in this Plan or the Agreement relating to such award, or (ii) the conditions to vesting applicable to a Restricted Stock Unit Award or Other Stock Award shall remain in effect.</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SAR</w:t>
      </w:r>
      <w:r>
        <w:rPr>
          <w:rFonts w:ascii="Times New Roman" w:cs="Times New Roman" w:eastAsia="Times New Roman" w:hAnsi="Times New Roman"/>
          <w:sz w:val="18"/>
          <w:szCs w:val="18"/>
          <w:color w:val="auto"/>
        </w:rPr>
        <w:t>” shall mean a stock appreciation right which may be a Free-Standing SAR or a Tandem SAR.</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 Award</w:t>
      </w:r>
      <w:r>
        <w:rPr>
          <w:rFonts w:ascii="Times New Roman" w:cs="Times New Roman" w:eastAsia="Times New Roman" w:hAnsi="Times New Roman"/>
          <w:sz w:val="18"/>
          <w:szCs w:val="18"/>
          <w:color w:val="auto"/>
        </w:rPr>
        <w:t>” shall mean a Restricted Stock Award, Restricted Stock Unit Award or Other Stock Award.</w:t>
      </w:r>
    </w:p>
    <w:p>
      <w:pPr>
        <w:spacing w:after="0" w:line="220"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shall mean any corporation, limited liability company, partnership, joint venture or similar entity in which the Company owns, directly or indirectly, an equity interest possessing more than 50% of the combined voting power of the total outstanding equity interests of such entity.</w:t>
      </w:r>
    </w:p>
    <w:p>
      <w:pPr>
        <w:spacing w:after="0" w:line="155"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Substitute Award</w:t>
      </w:r>
      <w:r>
        <w:rPr>
          <w:rFonts w:ascii="Times New Roman" w:cs="Times New Roman" w:eastAsia="Times New Roman" w:hAnsi="Times New Roman"/>
          <w:sz w:val="18"/>
          <w:szCs w:val="18"/>
          <w:color w:val="auto"/>
        </w:rPr>
        <w:t xml:space="preserve">” shall mean an award granted under this Plan upon the assumption of, or in substitution for, outstanding equity awards previously granted by a company or other entity in connection with a corporate transaction, including a merger, combination, consolidation or acquisition of property or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term “Substitute Award” be construed to refer to an award made in connection with the cancellation and repricing of an option or SAR.</w:t>
      </w:r>
    </w:p>
    <w:p>
      <w:pPr>
        <w:spacing w:after="0" w:line="175"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Tandem SAR</w:t>
      </w:r>
      <w:r>
        <w:rPr>
          <w:rFonts w:ascii="Times New Roman" w:cs="Times New Roman" w:eastAsia="Times New Roman" w:hAnsi="Times New Roman"/>
          <w:sz w:val="18"/>
          <w:szCs w:val="18"/>
          <w:color w:val="auto"/>
        </w:rPr>
        <w:t>” shall mean an SAR which is granted in tandem with, or by reference to, an option (including a Nonqualified Stock Option granted prior to the date of grant of the SAR), which entitles the holder thereof to receive, upon exercise of such SAR and surrender for cancellation of all or a portion of such option, shares of Common Stock (which may be Restricted Stock) or, to the extent set forth in the applicable Agreement, cash or a combination thereof, with an aggregate value equal to the excess of the Fair Market Value of one (1) share of Common Stock on the date of exercise over the base price of such SAR, multiplied by the number of shares of Common Stock subject to such option, or portion thereof, which is surrendered.</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Ten Percent Holder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2" w:name="page13"/>
    <w:bookmarkEnd w:id="12"/>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1.3 Administration</w:t>
      </w:r>
      <w:r>
        <w:rPr>
          <w:rFonts w:ascii="Times New Roman" w:cs="Times New Roman" w:eastAsia="Times New Roman" w:hAnsi="Times New Roman"/>
          <w:sz w:val="18"/>
          <w:szCs w:val="18"/>
          <w:color w:val="auto"/>
        </w:rPr>
        <w:t>. This Plan shall be administered by the Committee. Any one or a combination of the following awards may be made under this Plan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persons: (i) options to purchase shares of Common Stock in the form of Incentive Stock Options or Nonqualified Stock Options; (ii) SARs in the form of Tandem SARs or Free-Standing SARs; (iii) Stock Awards in the form of Restricted Stock, Restricted Stock Units or Other Stock Awards; and (iv) Performance Awards. The Committee shall, subject to the terms of this Plan, select eligible persons for participation in this Plan and determine the form, amount and timing of each award to such persons and, if applicable, the number of shares of Common Stock subject to an award, the number of SARs, the number of Restricted Stock Units, the dollar value subject to a Performance Award, the purchase price or base price associated with the award, the time and conditions of exercise or settlement of the award and all other terms and conditions of the award, including, without limitation, the form of the Agreement evidencing the award. The Committee may, in its sole discretion and for any reason at any time, take action such that (i) any or all outstanding options and SARs shall become exercisable in part or in full, (ii) all or a portion of the Restriction Period applicable to any outstanding awards shall lapse, (iii) all or a portion of the Performance Period applicable to any outstanding awards shall lapse and (iv) the Performance Measures (if any) applicable to any outstanding awards shall be deemed to be satisfied at the target, maximum or any other level. The Committee shall, subject to the terms of this Plan, interpret this Plan and the application thereof, establish rules and regulations it deems necessary or desirable for the administration of this Plan and may impose, incidental to the grant of an award, conditions with respect to the award, such as limiting competitive employment or other activities. All such interpretations, rules, regulations and conditions shall be conclusive and binding on all parties.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Committee may delegate some or all of its power and authority hereunder to the Board (or any members thereof) or, subject to applicable law, to a subcommittee of the Board, a member of the Board, the Chief Executive Officer or other executive officer of the Company as the Committee deems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Committee may not delegate its power and authority to a member of the Board, the Chief Executive Officer or other executive officer of the Company with regard to the selection for participation in this Plan of an officer, director or other person subject to Section 16 of the Exchange Act or decisions concerning the timing, pricing or amount of an award to such an officer, director or other person.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member of the Board or Committee, and neither the Chief Executive Officer nor any other executive officer to whom the Committee delegates any of its power and authority hereunder, shall be liable for any act, omission, interpretation, construction or determination made in connection with this Plan in good faith, and the members of the Board and the Committee and the Chief Executive Officer or other executive officer shall be entitled to indemnification and reimbursement by the Company in respect of any claim, loss, damage or expense (including attorneys’ fees) arising therefrom to the full extent permitted by law (except as otherwise may be provided in the Company’s Certificate of Incorporation and/or Bylaws) and under any directors’ and officers’ liability insurance that may be in effect from time to time.</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1.4 Eligibility</w:t>
      </w:r>
      <w:r>
        <w:rPr>
          <w:rFonts w:ascii="Times New Roman" w:cs="Times New Roman" w:eastAsia="Times New Roman" w:hAnsi="Times New Roman"/>
          <w:sz w:val="18"/>
          <w:szCs w:val="18"/>
          <w:color w:val="auto"/>
        </w:rPr>
        <w:t>. Participants in this Plan shall consist of such officers, other employees, Non-Employee Directors, consultants, independent contractors,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and persons expected to become officers, other employees, Non-Employee Directors, consultants, independent contractors and agents of the Company and its Subsidiaries as the Committee in its sole discretion may select from time to time, provided such persons are eligible to receive awards of shares of Common Stock that are registered on a Form S-8 registration statement. The Committee’s selection of a person to participate in this Plan at any time shall not require the Committee to select such person to participate in this Plan at any other time. Except as otherwise provided for in an Agreement, for purposes of this Plan, references to employment by the Company shall also mean employment by a Subsidiary, and references to employment shall include service as a Non-Employee Director, consultant, independent contractor or agent. The Committee shall determine, in its sole discretion, the extent to which a participant shall be considered employed during an approved leave of absence. The aggregate value of cash compensation and the grant date fair value of shares of Common Stock that may be awarded or granted during any fiscal year of the Company to any Non-Employee Director shall not in the aggregate exceed $750,000.</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3" w:name="page14"/>
    <w:bookmarkEnd w:id="13"/>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1.5 Shares Available</w:t>
      </w:r>
      <w:r>
        <w:rPr>
          <w:rFonts w:ascii="Times New Roman" w:cs="Times New Roman" w:eastAsia="Times New Roman" w:hAnsi="Times New Roman"/>
          <w:sz w:val="18"/>
          <w:szCs w:val="18"/>
          <w:color w:val="auto"/>
        </w:rPr>
        <w:t>. Subject to adjustment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all other limits set forth in this Plan, 531,827 shares of Common Stock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for all awards under this Plan, other than Substitute Awards. Subject to adjustment as provided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no more than 531,827 shares of Common Stock in the aggregate may be issued under the Plan in connection with Incentive Stock Options. In addition, the number of shares of Common Stock available under the Plan shall increase annually on the first day of each calendar year, beginning with the calendar year ending December 31, 2026, and continuing until (and including) the calendar year ending December 31, 2046, with such annual increase equal to the lesser of (i) 10% of the number of shares of Stock issued and outstanding on December 31 of the immediately preceding fiscal year and (ii) an amount determined by the Board. The number of shares of Common Stock that remain available for future grants under the Plan shall be reduced by the sum of the aggregate number of shares of Common Stock that become subject to outstanding options, outstanding Free-Standing SARs, outstanding Stock Awards and outstanding Performance Awards denominated in shares of Common Stock, other than Substitute Awards.</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To the extent that shares of Common Stock subject to an outstanding option, SAR, Stock Award or Performance Award granted under the Plan, other than Substitute Awards, are not issued or delivered by reason of (i) the expiration, termination, cancellation or forfeiture of such award (excluding shares subject to an option cancelled upon settlement in shares of a related Tandem SAR or shares subject to a Tandem SAR cancelled upon exercise of a related option) or</w:t>
      </w:r>
    </w:p>
    <w:p>
      <w:pPr>
        <w:jc w:val="both"/>
        <w:ind w:firstLine="7"/>
        <w:spacing w:after="0" w:line="249" w:lineRule="auto"/>
        <w:tabs>
          <w:tab w:leader="none" w:pos="2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such award in cash, then such shares of Common Stock shall again be available under this Plan. In addition, shares of Common Stock subject to an award under this Plan shall again be available for issuance under this Plan if such shares are (x) shares that were subject to an option or stock-settled SAR and were not issued or delivered upon the net settlement or net exercise of such option or SAR or (y) shares delivered to or withheld by the Company to pay the purchase price or the withholding taxes related to an outstanding award. Notwithstanding the foregoing, shares repurchased by the Company on the open market with the proceeds of an option exercise shall not again be available for issuance under this Plan.</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number of shares of Common Stock available for awards under this Plan shall not be reduced by (i) the number of shares of Common Stock subject to Substitute Awards or (ii) available shares under a stockholder approved plan of a company or other entity which was a party to a corporate transaction with the Company (as appropriately adjusted to reflect such corporate transaction) which become subject to awards granted under this Plan (subject to applicable stock exchange requirements).</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Shares of Common Stock to be delivered under this Plan shall be made available from authorized and unissued shares of Common Stock, or authorized and issued shares of Common Stock reacquired and held as treasury shares or otherwise or a combination thereof.</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 STOCK OPTIONS AND STOCK APPRECIATION RIGHTS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2.1 Stock Options</w:t>
      </w:r>
      <w:r>
        <w:rPr>
          <w:rFonts w:ascii="Times New Roman" w:cs="Times New Roman" w:eastAsia="Times New Roman" w:hAnsi="Times New Roman"/>
          <w:sz w:val="18"/>
          <w:szCs w:val="18"/>
          <w:color w:val="auto"/>
        </w:rPr>
        <w:t>. The Committee may, in its discretion, grant options to purchase shares of Common Stock to such eligible persons as may be selected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Each option, or portion thereof, that is not an Incentive Stock Option, shall be a Nonqualified Stock Option. To the extent that the aggregate Fair Market Value (determined as of the date of grant) of shares of Common Stock with respect to which options designated as Incentive Stock Options are exercisable for the first time by a participant during any calendar year (under this Plan or any other plan of the Company, or any parent or Subsidiary) exceeds the amount (currently $100,000) established by the Code, such options shall constitute Nonqualified Stock Options.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shall be subject to the following terms and conditions and shall contain such additional terms and conditions, not inconsistent with the terms of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 the Committee shall deem advisable:</w:t>
      </w:r>
    </w:p>
    <w:p>
      <w:pPr>
        <w:spacing w:after="0" w:line="202" w:lineRule="exact"/>
        <w:rPr>
          <w:sz w:val="20"/>
          <w:szCs w:val="20"/>
          <w:color w:val="auto"/>
        </w:rPr>
      </w:pPr>
    </w:p>
    <w:p>
      <w:pPr>
        <w:jc w:val="both"/>
        <w:ind w:firstLine="648"/>
        <w:spacing w:after="0" w:line="252" w:lineRule="auto"/>
        <w:tabs>
          <w:tab w:leader="none" w:pos="9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and Purchase Price</w:t>
      </w:r>
      <w:r>
        <w:rPr>
          <w:rFonts w:ascii="Times New Roman" w:cs="Times New Roman" w:eastAsia="Times New Roman" w:hAnsi="Times New Roman"/>
          <w:sz w:val="18"/>
          <w:szCs w:val="18"/>
          <w:color w:val="auto"/>
        </w:rPr>
        <w:t xml:space="preserve">. The number of shares of Common Stock subject to an option and the purchase price per share of Common Stock purchasable upon exercise of the option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purchase price per share of Common Stock purchasable upon exercise of an option shall not be less than 100% of the Fair Market Value of a share of Common Stock on the date of grant of such option;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 Incentive Stock Option shall be granted to any person who, at the time such option is granted, owns capital stock possessing more than 10 percent of the total combined voting power of all classes of capital stock of the Company (or of any parent or Subsidiary) (a “</w:t>
      </w:r>
      <w:r>
        <w:rPr>
          <w:rFonts w:ascii="Times New Roman" w:cs="Times New Roman" w:eastAsia="Times New Roman" w:hAnsi="Times New Roman"/>
          <w:sz w:val="18"/>
          <w:szCs w:val="18"/>
          <w:u w:val="single" w:color="auto"/>
          <w:color w:val="auto"/>
        </w:rPr>
        <w:t>Ten Percent Holder</w:t>
      </w:r>
      <w:r>
        <w:rPr>
          <w:rFonts w:ascii="Times New Roman" w:cs="Times New Roman" w:eastAsia="Times New Roman" w:hAnsi="Times New Roman"/>
          <w:sz w:val="18"/>
          <w:szCs w:val="18"/>
          <w:color w:val="auto"/>
        </w:rPr>
        <w:t>”), the purchase price per share of Common Stock shall not be less than the price (currently 110% of Fair Market Value) required by the Code in order to constitute an Incentive Stock Option.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4" w:name="page15"/>
    <w:bookmarkEnd w:id="14"/>
    <w:p>
      <w:pPr>
        <w:jc w:val="both"/>
        <w:spacing w:after="0" w:line="267" w:lineRule="auto"/>
        <w:rPr>
          <w:sz w:val="20"/>
          <w:szCs w:val="20"/>
          <w:color w:val="auto"/>
        </w:rPr>
      </w:pPr>
      <w:r>
        <w:rPr>
          <w:rFonts w:ascii="Times New Roman" w:cs="Times New Roman" w:eastAsia="Times New Roman" w:hAnsi="Times New Roman"/>
          <w:sz w:val="17"/>
          <w:szCs w:val="17"/>
          <w:color w:val="auto"/>
        </w:rPr>
        <w:t>Notwithstanding the foregoing, in the case of an option that is a Substitute Award, the purchase price per share of the shares subject to such option may be less than 100%of the Fair Market Value per share on the date of grant, provided, that the excess of: (a) the aggregate Fair Market Value (as of the date such Substitute Award is granted) of the shares subject to the Substitute Award, over (b) the aggregate purchase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w:t>
      </w:r>
    </w:p>
    <w:p>
      <w:pPr>
        <w:ind w:left="260" w:hanging="253"/>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purchase price of such shares.</w:t>
      </w:r>
    </w:p>
    <w:p>
      <w:pPr>
        <w:spacing w:after="0" w:line="201" w:lineRule="exact"/>
        <w:rPr>
          <w:rFonts w:ascii="Times New Roman" w:cs="Times New Roman" w:eastAsia="Times New Roman" w:hAnsi="Times New Roman"/>
          <w:sz w:val="18"/>
          <w:szCs w:val="18"/>
          <w:color w:val="auto"/>
        </w:rPr>
      </w:pPr>
    </w:p>
    <w:p>
      <w:pPr>
        <w:jc w:val="both"/>
        <w:ind w:firstLine="648"/>
        <w:spacing w:after="0" w:line="253" w:lineRule="auto"/>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Period and Exercisability</w:t>
      </w:r>
      <w:r>
        <w:rPr>
          <w:rFonts w:ascii="Times New Roman" w:cs="Times New Roman" w:eastAsia="Times New Roman" w:hAnsi="Times New Roman"/>
          <w:sz w:val="18"/>
          <w:szCs w:val="18"/>
          <w:color w:val="auto"/>
        </w:rPr>
        <w:t xml:space="preserve">. The period during which an option may be exercised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option shall be exercised later than ten (10) years after its date of grant;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 Incentive Stock Option shall be granted to a Ten Percent Holder, such option shall not be exercised later than ten (10) years after its date of grant. The Committee may, in its discretion, establish Performance Measures which shall be satisfied or met as a condition to the grant of an option or to the exercisability of all or a portion of an option. The Committee shall determine whether an option shall become exercisable in cumulative or non-cumulative installments and in part or in full at any time. An exercisable option, or portion thereof, may be exercised only with respect to whole shares of Common Stock.</w:t>
      </w:r>
    </w:p>
    <w:p>
      <w:pPr>
        <w:spacing w:after="0" w:line="186" w:lineRule="exact"/>
        <w:rPr>
          <w:rFonts w:ascii="Times New Roman" w:cs="Times New Roman" w:eastAsia="Times New Roman" w:hAnsi="Times New Roman"/>
          <w:sz w:val="18"/>
          <w:szCs w:val="18"/>
          <w:color w:val="auto"/>
        </w:rPr>
      </w:pPr>
    </w:p>
    <w:p>
      <w:pPr>
        <w:jc w:val="both"/>
        <w:ind w:firstLine="648"/>
        <w:spacing w:after="0" w:line="266" w:lineRule="auto"/>
        <w:tabs>
          <w:tab w:leader="none" w:pos="883"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Method of Exercise</w:t>
      </w:r>
      <w:r>
        <w:rPr>
          <w:rFonts w:ascii="Times New Roman" w:cs="Times New Roman" w:eastAsia="Times New Roman" w:hAnsi="Times New Roman"/>
          <w:sz w:val="17"/>
          <w:szCs w:val="17"/>
          <w:color w:val="auto"/>
        </w:rPr>
        <w:t xml:space="preserve">. An option may be exercised (i) by giving written notice to the Company specifying the number of whole shares of Common Stock to be purchased and accompanying such notice with payment therefor in full (or arrangement made for such payment to the Company’s satisfaction) either (A) in cash or check, (B) by delivery(either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participant has submitted an irrevocable notice of exercise, (E) such other methods permitted by applicable law, or (F) a combination of the foregoing, in each case, to the extent set forth in the Agreement relating to the option, (ii) if applicable, by surrendering to the Company any Tandem SARs which are cancelled by reason of the exercise of the option and (iii) by executing such documents as the Company may reasonably request. Any fraction of a share of Common Stock which would be required to pay such purchase price shall be disregarded and the remaining amount due shall be paid in cash by the participant. No shares of Common Stock shall be issued and no certificate representing Common Stock shall be delivered until the full purchase price therefor and any withholding taxes thereon, as described in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have been paid (or arrangement made for such payment to the Company’s satisfaction).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b w:val="1"/>
          <w:bCs w:val="1"/>
          <w:color w:val="auto"/>
        </w:rPr>
        <w:t>2.2 Stock Appreciation Rights</w:t>
      </w:r>
      <w:r>
        <w:rPr>
          <w:rFonts w:ascii="Times New Roman" w:cs="Times New Roman" w:eastAsia="Times New Roman" w:hAnsi="Times New Roman"/>
          <w:sz w:val="18"/>
          <w:szCs w:val="18"/>
          <w:color w:val="auto"/>
        </w:rPr>
        <w:t>. The Committee may, in its discretion, grant SARs to such eligible persons as may be selected by the Committee.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relating to an SAR shall specify whether the SAR is a Tandem SAR or a Free-Standing SAR.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SARs shall be subject to the following terms and conditions and shall contain such additional terms and conditions, not inconsistent with the terms of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 the Committee shall deem advisable:</w:t>
      </w:r>
    </w:p>
    <w:p>
      <w:pPr>
        <w:spacing w:after="0" w:line="202" w:lineRule="exact"/>
        <w:rPr>
          <w:sz w:val="20"/>
          <w:szCs w:val="20"/>
          <w:color w:val="auto"/>
        </w:rPr>
      </w:pPr>
    </w:p>
    <w:p>
      <w:pPr>
        <w:jc w:val="both"/>
        <w:ind w:firstLine="648"/>
        <w:spacing w:after="0" w:line="255" w:lineRule="auto"/>
        <w:tabs>
          <w:tab w:leader="none" w:pos="8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SARs and Base Price</w:t>
      </w:r>
      <w:r>
        <w:rPr>
          <w:rFonts w:ascii="Times New Roman" w:cs="Times New Roman" w:eastAsia="Times New Roman" w:hAnsi="Times New Roman"/>
          <w:sz w:val="18"/>
          <w:szCs w:val="18"/>
          <w:color w:val="auto"/>
        </w:rPr>
        <w:t xml:space="preserve">. The number of SARs subject to an award shall be determined by the Committee. Any Tandem SAR related to an Incentive Stock Option shall be granted at the same time that such Incentive Stock Option is granted. The base price of a Tandem SAR shall be the purchase price per share of Common Stock of the related option. The base price of a Free-Standing SAR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base price shall not be less than 100% of the Fair Market Value of a share of Common Stock on the date of grant of such SAR (or, if earlier, the date of grant of the option for which the SAR is exchanged or substituted).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in the case of an SAR that is a Substitute Award, the base price per share of the shares subject to such SAR may be less than 100% of the Fair Market Value per share on the date of grant, provided, that the excess of: (a) the aggregate Fair Market Value (as of the date such Substitute Award is granted) of the shares subject to the Substitute Award, over (b) the aggregate base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w:t>
      </w:r>
    </w:p>
    <w:p>
      <w:pPr>
        <w:spacing w:after="0" w:line="187" w:lineRule="exact"/>
        <w:rPr>
          <w:sz w:val="20"/>
          <w:szCs w:val="20"/>
          <w:color w:val="auto"/>
        </w:rPr>
      </w:pPr>
    </w:p>
    <w:p>
      <w:pPr>
        <w:jc w:val="both"/>
        <w:ind w:firstLine="648"/>
        <w:spacing w:after="0" w:line="267" w:lineRule="auto"/>
        <w:tabs>
          <w:tab w:leader="none" w:pos="89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Period and Exercisability</w:t>
      </w:r>
      <w:r>
        <w:rPr>
          <w:rFonts w:ascii="Times New Roman" w:cs="Times New Roman" w:eastAsia="Times New Roman" w:hAnsi="Times New Roman"/>
          <w:sz w:val="17"/>
          <w:szCs w:val="17"/>
          <w:color w:val="auto"/>
        </w:rPr>
        <w:t xml:space="preserve">. The period for the exercise of an SAR shall be determined by the Committee;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 no Tandem SAR shall be exercised later than the expiration, cancellation, forfeiture or other termination of the related option and (ii) no Free-Standing SAR shall be exercised later than ten (10) years after its date of grant. The Committee may, in its discretion, establish Performance Measures which shall be satisfied or met as a condition to the grant of an SAR or to the exercisability of all or a portion of an SAR. The Committee shall determine whether an SAR may be exercised in cumulative or non-cumulative installments and in part or in full at any time. An exercisable SAR, or portion thereof, may be exercised, in the case of a Tandem SAR, only with respect to whole shares of Common Stock and, in the case of a Free-Standing SAR, only with respect to a whole number of SARs. If an SAR is exercised for shares of Restricted Stock, a certificate or certificates representing such Restricted Stock shall be issued in accordance with </w:t>
      </w:r>
      <w:r>
        <w:rPr>
          <w:rFonts w:ascii="Times New Roman" w:cs="Times New Roman" w:eastAsia="Times New Roman" w:hAnsi="Times New Roman"/>
          <w:sz w:val="17"/>
          <w:szCs w:val="17"/>
          <w:u w:val="single" w:color="auto"/>
          <w:color w:val="auto"/>
        </w:rPr>
        <w:t>Section 3.2(c)</w:t>
      </w:r>
      <w:r>
        <w:rPr>
          <w:rFonts w:ascii="Times New Roman" w:cs="Times New Roman" w:eastAsia="Times New Roman" w:hAnsi="Times New Roman"/>
          <w:sz w:val="17"/>
          <w:szCs w:val="17"/>
          <w:color w:val="auto"/>
        </w:rPr>
        <w:t xml:space="preserve">, or such shares shall be transferred to the holder in book entry form with restrictions on the shares duly noted, and the holder of such Restricted Stock shall have such rights of a stockholder of the Company as determined pursuant to </w:t>
      </w:r>
      <w:r>
        <w:rPr>
          <w:rFonts w:ascii="Times New Roman" w:cs="Times New Roman" w:eastAsia="Times New Roman" w:hAnsi="Times New Roman"/>
          <w:sz w:val="17"/>
          <w:szCs w:val="17"/>
          <w:u w:val="single" w:color="auto"/>
          <w:color w:val="auto"/>
        </w:rPr>
        <w:t>Section 3.2(d)</w:t>
      </w:r>
      <w:r>
        <w:rPr>
          <w:rFonts w:ascii="Times New Roman" w:cs="Times New Roman" w:eastAsia="Times New Roman" w:hAnsi="Times New Roman"/>
          <w:sz w:val="17"/>
          <w:szCs w:val="17"/>
          <w:color w:val="auto"/>
        </w:rPr>
        <w:t>. Prior to the exercise of a stock-settled SAR, the holder of such SAR shall have no rights as a stockholder of the Company with respect to the shares of Common Stock subject to such SAR.</w:t>
      </w:r>
    </w:p>
    <w:p>
      <w:pPr>
        <w:spacing w:after="0" w:line="176" w:lineRule="exact"/>
        <w:rPr>
          <w:rFonts w:ascii="Times New Roman" w:cs="Times New Roman" w:eastAsia="Times New Roman" w:hAnsi="Times New Roman"/>
          <w:sz w:val="17"/>
          <w:szCs w:val="17"/>
          <w:color w:val="auto"/>
        </w:rPr>
      </w:pPr>
    </w:p>
    <w:p>
      <w:pPr>
        <w:jc w:val="both"/>
        <w:ind w:firstLine="648"/>
        <w:spacing w:after="0" w:line="253" w:lineRule="auto"/>
        <w:tabs>
          <w:tab w:leader="none" w:pos="8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A Tandem SAR may be exercised (i) by giving written notice to the Company specifying the number of whole SARs which are being exercised, (ii) by surrendering to the Company any options which are cancelled by reason of the exercise of the Tandem SAR and (iii) by executing such documents as the Company may reasonably request. A Free-Standing SAR may be exercised (A) by giving written notice to the Company specifying the whole number of SARs which are being exercised and (B) by executing such documents as the Company may reasonably request. No shares of Common Stock shall be issued and no certificate representing Common Stock shall be delivered until any withholding taxes thereon, as described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have been paid (or arrangement made for such payment to the Company’s satisfaction).</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2.3 Termination of Employment or Service</w:t>
      </w:r>
      <w:r>
        <w:rPr>
          <w:rFonts w:ascii="Times New Roman" w:cs="Times New Roman" w:eastAsia="Times New Roman" w:hAnsi="Times New Roman"/>
          <w:sz w:val="18"/>
          <w:szCs w:val="18"/>
          <w:color w:val="auto"/>
        </w:rPr>
        <w:t>. All of the terms relating to the exercise, cancellation or other disposition of an option or SAR (i) upon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with or service to the Company of the holder of such option or SAR, as the case may be, whether by reason of termination, resignation, disability, retirement, death or any other reason, or (ii) during a paid or unpaid leave of absence, shall be determined by the Committee and set forth in the applicable Agreement.</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2.4 Repricing</w:t>
      </w:r>
      <w:r>
        <w:rPr>
          <w:rFonts w:ascii="Times New Roman" w:cs="Times New Roman" w:eastAsia="Times New Roman" w:hAnsi="Times New Roman"/>
          <w:sz w:val="18"/>
          <w:szCs w:val="18"/>
          <w:color w:val="auto"/>
        </w:rPr>
        <w:t>. The Committee shall have the discretion, without the approval of the stockholders of the Company, to (i) reduce the purchase price or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of any previously granted option or SAR, (ii) cancel any previously granted option or SAR in exchange for another option or SAR with a lower purchase price or base price or (iii) cancel any previously granted option or SAR in exchange for cash or another award if the purchase price of such option or the base price of such SAR exceeds the Fair Market Value of a share of Common Stock on the date of such cancellation.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2.5 No Dividend Equivalents</w:t>
      </w:r>
      <w:r>
        <w:rPr>
          <w:rFonts w:ascii="Times New Roman" w:cs="Times New Roman" w:eastAsia="Times New Roman" w:hAnsi="Times New Roman"/>
          <w:sz w:val="18"/>
          <w:szCs w:val="18"/>
          <w:color w:val="auto"/>
        </w:rPr>
        <w:t>. Notwithstanding anything in an Agreement to the contrary, the holder of an option or SAR shall not be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equivalents with respect to the number of shares of Common Stock subject to such option or SAR.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III. STOCK AWARDS</w:t>
      </w:r>
    </w:p>
    <w:p>
      <w:pPr>
        <w:spacing w:after="0" w:line="2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3.1 Stock Awards</w:t>
      </w:r>
      <w:r>
        <w:rPr>
          <w:rFonts w:ascii="Times New Roman" w:cs="Times New Roman" w:eastAsia="Times New Roman" w:hAnsi="Times New Roman"/>
          <w:sz w:val="18"/>
          <w:szCs w:val="18"/>
          <w:color w:val="auto"/>
        </w:rPr>
        <w:t>. The Committee may, in its discretion, grant Stock Awards to such eligible persons as may be selected by the Committee. The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a Stock Award shall specify whether the Stock Award is a Restricted Stock Award, a Restricted Stock Unit Award or, in the case of an Other Stock Award, the type of award being granted.</w:t>
      </w:r>
    </w:p>
    <w:p>
      <w:pPr>
        <w:spacing w:after="0" w:line="16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color w:val="auto"/>
        </w:rPr>
        <w:t>3.2 Terms of Restricted Stock Awards</w:t>
      </w:r>
      <w:r>
        <w:rPr>
          <w:rFonts w:ascii="Times New Roman" w:cs="Times New Roman" w:eastAsia="Times New Roman" w:hAnsi="Times New Roman"/>
          <w:sz w:val="18"/>
          <w:szCs w:val="18"/>
          <w:color w:val="auto"/>
        </w:rPr>
        <w:t>. Restricted Stock Awards shall be subject to the following terms and conditions and shall contain such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not inconsistent with the terms of this Plan, as the Committee shall deem advisable.</w:t>
      </w:r>
    </w:p>
    <w:p>
      <w:pPr>
        <w:spacing w:after="0" w:line="159" w:lineRule="exact"/>
        <w:rPr>
          <w:sz w:val="20"/>
          <w:szCs w:val="20"/>
          <w:color w:val="auto"/>
        </w:rPr>
      </w:pPr>
    </w:p>
    <w:p>
      <w:pPr>
        <w:ind w:firstLine="648"/>
        <w:spacing w:after="0" w:line="277" w:lineRule="auto"/>
        <w:tabs>
          <w:tab w:leader="none" w:pos="8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and Other Terms</w:t>
      </w:r>
      <w:r>
        <w:rPr>
          <w:rFonts w:ascii="Times New Roman" w:cs="Times New Roman" w:eastAsia="Times New Roman" w:hAnsi="Times New Roman"/>
          <w:sz w:val="18"/>
          <w:szCs w:val="18"/>
          <w:color w:val="auto"/>
        </w:rPr>
        <w:t>. The number of shares of Common Stock subject to a Restricted Stock Award and the Restriction Period, Performance Period (if any) and Performance Measures (if any) applicable to a Restricted Stock Award shall be determined by the Committee.</w:t>
      </w:r>
    </w:p>
    <w:p>
      <w:pPr>
        <w:spacing w:after="0" w:line="163" w:lineRule="exact"/>
        <w:rPr>
          <w:rFonts w:ascii="Times New Roman" w:cs="Times New Roman" w:eastAsia="Times New Roman" w:hAnsi="Times New Roman"/>
          <w:sz w:val="18"/>
          <w:szCs w:val="18"/>
          <w:color w:val="auto"/>
        </w:rPr>
      </w:pPr>
    </w:p>
    <w:p>
      <w:pPr>
        <w:jc w:val="both"/>
        <w:ind w:firstLine="648"/>
        <w:spacing w:after="0" w:line="253" w:lineRule="auto"/>
        <w:tabs>
          <w:tab w:leader="none" w:pos="8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 The Agreement relating to a Restricted Stock Award shall provide, in the manner determined by the Committee, in its discretion, and subject to the provisions of this Plan, for the vesting of the shares of Common Stock subject to such award (i) if the holder of such award remains continuously in the employment of the Company during the specified Restriction Period or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186" w:lineRule="exact"/>
        <w:rPr>
          <w:rFonts w:ascii="Times New Roman" w:cs="Times New Roman" w:eastAsia="Times New Roman" w:hAnsi="Times New Roman"/>
          <w:sz w:val="18"/>
          <w:szCs w:val="18"/>
          <w:color w:val="auto"/>
        </w:rPr>
      </w:pPr>
    </w:p>
    <w:p>
      <w:pPr>
        <w:jc w:val="both"/>
        <w:ind w:firstLine="648"/>
        <w:spacing w:after="0" w:line="251" w:lineRule="auto"/>
        <w:tabs>
          <w:tab w:leader="none" w:pos="8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Issuance</w:t>
      </w:r>
      <w:r>
        <w:rPr>
          <w:rFonts w:ascii="Times New Roman" w:cs="Times New Roman" w:eastAsia="Times New Roman" w:hAnsi="Times New Roman"/>
          <w:sz w:val="18"/>
          <w:szCs w:val="18"/>
          <w:color w:val="auto"/>
        </w:rPr>
        <w:t xml:space="preserve">. During the Restriction Period, the shares of Restricted Stock shall be held by a custodian in book entry form with restrictions on such shares duly noted or, alternatively, a certificate or certificates representing a Restricted Stock Award shall be registered in the holder’s name and may bear a legend, in addition to any legend which may be required pursuant to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indicating that the ownership of the shares of Common Stock represented by such certificate is subject to the restrictions, terms and conditions of this Plan and the Agreement relating to the Restricted Stock Award. 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Restricted Stock Award in the event such award is forfeited in whole or in part. Upon termination of any applicable Restriction Period (and the satisfaction or attainment of applicable Performance Measures), subject to the Company’s right to require payment of any taxes in accordance with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the restrictions shall be removed from the requisite number of any shares of Common Stock that are held in book entry form, and all certificates evidencing ownership of the requisite number of shares of Common Stock shall be delivered to the holder of such award.</w:t>
      </w:r>
    </w:p>
    <w:p>
      <w:pPr>
        <w:spacing w:after="0" w:line="186" w:lineRule="exact"/>
        <w:rPr>
          <w:rFonts w:ascii="Times New Roman" w:cs="Times New Roman" w:eastAsia="Times New Roman" w:hAnsi="Times New Roman"/>
          <w:sz w:val="18"/>
          <w:szCs w:val="18"/>
          <w:color w:val="auto"/>
        </w:rPr>
      </w:pPr>
    </w:p>
    <w:p>
      <w:pPr>
        <w:jc w:val="both"/>
        <w:ind w:firstLine="648"/>
        <w:spacing w:after="0" w:line="255" w:lineRule="auto"/>
        <w:tabs>
          <w:tab w:leader="none" w:pos="8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with Respect to Restricted Stock Awards</w:t>
      </w:r>
      <w:r>
        <w:rPr>
          <w:rFonts w:ascii="Times New Roman" w:cs="Times New Roman" w:eastAsia="Times New Roman" w:hAnsi="Times New Roman"/>
          <w:sz w:val="18"/>
          <w:szCs w:val="18"/>
          <w:color w:val="auto"/>
        </w:rPr>
        <w:t xml:space="preserve">. Unless otherwise set forth in the Agreement relating to a Restricted Stock Award, and subject to the terms and conditions of a Restricted Stock Award, the holder of such award shall have all rights as a stockholder of the Company, including, but not limited to, voting rights, the right to receive dividends and the right to participate in any capital adjustment applicable to all holders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distribution or dividend with respect to shares of Common Stock, including a regular cash dividend, shall be deposited with the Company and shall be subject to the same restrictions as the shares of Common Stock with respect to which such distribution was made.</w:t>
      </w:r>
    </w:p>
    <w:p>
      <w:pPr>
        <w:spacing w:after="0" w:line="182" w:lineRule="exact"/>
        <w:rPr>
          <w:rFonts w:ascii="Times New Roman" w:cs="Times New Roman" w:eastAsia="Times New Roman" w:hAnsi="Times New Roman"/>
          <w:sz w:val="18"/>
          <w:szCs w:val="18"/>
          <w:color w:val="auto"/>
        </w:rPr>
      </w:pPr>
    </w:p>
    <w:p>
      <w:pPr>
        <w:jc w:val="both"/>
        <w:ind w:firstLine="648"/>
        <w:spacing w:after="0" w:line="257" w:lineRule="auto"/>
        <w:tabs>
          <w:tab w:leader="none" w:pos="8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If a participant makes an election under Section 83(b) of the Code to be taxed with respect to the Restricted Stock as of the date of transfer of 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b w:val="1"/>
          <w:bCs w:val="1"/>
          <w:color w:val="auto"/>
        </w:rPr>
        <w:t>3.3 Terms of Restricted Stock Unit Awards</w:t>
      </w:r>
      <w:r>
        <w:rPr>
          <w:rFonts w:ascii="Times New Roman" w:cs="Times New Roman" w:eastAsia="Times New Roman" w:hAnsi="Times New Roman"/>
          <w:sz w:val="18"/>
          <w:szCs w:val="18"/>
          <w:color w:val="auto"/>
        </w:rPr>
        <w:t>. Restricted Stock Unit Awards shall be subject to the following terms and conditions and shall contain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terms and conditions, not inconsistent with the terms of this Plan, as the Committee shall deem advisable.</w:t>
      </w:r>
    </w:p>
    <w:p>
      <w:pPr>
        <w:spacing w:after="0" w:line="159" w:lineRule="exact"/>
        <w:rPr>
          <w:sz w:val="20"/>
          <w:szCs w:val="20"/>
          <w:color w:val="auto"/>
        </w:rPr>
      </w:pPr>
    </w:p>
    <w:p>
      <w:pPr>
        <w:jc w:val="both"/>
        <w:ind w:firstLine="648"/>
        <w:spacing w:after="0" w:line="262" w:lineRule="auto"/>
        <w:tabs>
          <w:tab w:leader="none" w:pos="8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and Other Terms</w:t>
      </w:r>
      <w:r>
        <w:rPr>
          <w:rFonts w:ascii="Times New Roman" w:cs="Times New Roman" w:eastAsia="Times New Roman" w:hAnsi="Times New Roman"/>
          <w:sz w:val="18"/>
          <w:szCs w:val="18"/>
          <w:color w:val="auto"/>
        </w:rPr>
        <w:t>. The number of shares of Common Stock subject to a Restricted Stock Unit Award, including the number of shares that are earned upon the attainment of any specified Performance Measures, and the Restriction Period, Performance Period (if any) and Performance Measures (if any) applicable to a Restricted Stock Unit Award shall be determined by the Committee.</w:t>
      </w:r>
    </w:p>
    <w:p>
      <w:pPr>
        <w:spacing w:after="0" w:line="177" w:lineRule="exact"/>
        <w:rPr>
          <w:rFonts w:ascii="Times New Roman" w:cs="Times New Roman" w:eastAsia="Times New Roman" w:hAnsi="Times New Roman"/>
          <w:sz w:val="18"/>
          <w:szCs w:val="18"/>
          <w:color w:val="auto"/>
        </w:rPr>
      </w:pPr>
    </w:p>
    <w:p>
      <w:pPr>
        <w:jc w:val="both"/>
        <w:ind w:firstLine="648"/>
        <w:spacing w:after="0" w:line="253" w:lineRule="auto"/>
        <w:tabs>
          <w:tab w:leader="none" w:pos="8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 The Agreement relating to a Restricted Stock Unit Award shall provide, in the manner determined by the Committee, in its discretion, and subject to the provisions of this Plan, for the vesting of such Restricted Stock Unit Award (i) if the holder of such award remains continuously in the employment of the Company during the specified Restriction Period or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186" w:lineRule="exact"/>
        <w:rPr>
          <w:rFonts w:ascii="Times New Roman" w:cs="Times New Roman" w:eastAsia="Times New Roman" w:hAnsi="Times New Roman"/>
          <w:sz w:val="18"/>
          <w:szCs w:val="18"/>
          <w:color w:val="auto"/>
        </w:rPr>
      </w:pPr>
    </w:p>
    <w:p>
      <w:pPr>
        <w:jc w:val="both"/>
        <w:ind w:firstLine="648"/>
        <w:spacing w:after="0" w:line="253" w:lineRule="auto"/>
        <w:tabs>
          <w:tab w:leader="none" w:pos="8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Vested Restricted Stock Unit Awards</w:t>
      </w:r>
      <w:r>
        <w:rPr>
          <w:rFonts w:ascii="Times New Roman" w:cs="Times New Roman" w:eastAsia="Times New Roman" w:hAnsi="Times New Roman"/>
          <w:sz w:val="18"/>
          <w:szCs w:val="18"/>
          <w:color w:val="auto"/>
        </w:rPr>
        <w:t>. The Agreement relating to a Restricted Stock Unit Award shall specify (i) whether such award may be settled in shares of Common Stock or cash or a combination thereof and (ii) whether the holder thereof shall be entitled to receive, on a current or deferred basis, dividend equivalents, and, if determined by the Committee, interest on, or the deemed reinvestment of, any deferred dividend equivalents, with respect to the number of shares of Common Stock subject to such award. Any dividend equivalents with respect to Restricted Stock Units shall be subject to the same vesting conditions as the underlying awards. Prior to the settlement of a Restricted Stock Unit Award, the holder of such award shall have no rights as a stockholder of the Company with respect to the shares of Common Stock subject to such award.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3.4 Other Stock Awards</w:t>
      </w:r>
      <w:r>
        <w:rPr>
          <w:rFonts w:ascii="Times New Roman" w:cs="Times New Roman" w:eastAsia="Times New Roman" w:hAnsi="Times New Roman"/>
          <w:sz w:val="18"/>
          <w:szCs w:val="18"/>
          <w:color w:val="auto"/>
        </w:rPr>
        <w:t>. Subject to the limitations set forth in the Plan, the Committee is authorized to grant other awards that may be denominated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valued in whole or in part by reference to, or otherwise based on, or related to, shares of Common Stock, including without limitation shares of Common Stock granted as a bonus and not subject to any vesting conditions, dividend equivalents, deferred stock units, stock purchase rights and shares of Common Stock issued in lieu of obligations of the Company to pay cash under any compensatory plan or arrangement, subject to such terms as shall be determined by the Committee. The Committee shall determine the terms and conditions of such awards, which may include the right to elective deferral thereof, subject to such terms and conditions as the Committee may specify in its discretion. Any distribution, dividend or dividend equivalents with respect to Other Stock Awards shall be subject to the same vesting conditions as the underlying awards.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3.5 Termination of Employment or Service</w:t>
      </w:r>
      <w:r>
        <w:rPr>
          <w:rFonts w:ascii="Times New Roman" w:cs="Times New Roman" w:eastAsia="Times New Roman" w:hAnsi="Times New Roman"/>
          <w:sz w:val="18"/>
          <w:szCs w:val="18"/>
          <w:color w:val="auto"/>
        </w:rPr>
        <w:t>. All of the terms relating to the satisfaction of Performance Measures and the termination of the Restriction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or Performance Period relating to a Stock Award, or any forfeiture and cancellation of such award (i) upon a termination of employment with or service to the Company of the holder of such award, whether by reason of termination, resignation, disability, retirement, death or any other reason, or (ii) during a paid or unpaid leave of absence, shall be determined by the Committee and set forth in the applicable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IV. PERFORMANCE AWARDS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 Performance Awards</w:t>
      </w:r>
      <w:r>
        <w:rPr>
          <w:rFonts w:ascii="Times New Roman" w:cs="Times New Roman" w:eastAsia="Times New Roman" w:hAnsi="Times New Roman"/>
          <w:sz w:val="18"/>
          <w:szCs w:val="18"/>
          <w:color w:val="auto"/>
        </w:rPr>
        <w:t>. The Committee may, in its discretion, grant Performance Awards to such eligible persons as may be selected by the Committee.</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4.2 Terms of Performance Awards</w:t>
      </w:r>
      <w:r>
        <w:rPr>
          <w:rFonts w:ascii="Times New Roman" w:cs="Times New Roman" w:eastAsia="Times New Roman" w:hAnsi="Times New Roman"/>
          <w:sz w:val="18"/>
          <w:szCs w:val="18"/>
          <w:color w:val="auto"/>
        </w:rPr>
        <w:t>. Performance Awards shall be subject to the following terms and conditions and shall contain such additional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not inconsistent with the terms of this Plan, as the Committee shall deem advisable.</w:t>
      </w:r>
    </w:p>
    <w:p>
      <w:pPr>
        <w:spacing w:after="0" w:line="159" w:lineRule="exact"/>
        <w:rPr>
          <w:sz w:val="20"/>
          <w:szCs w:val="20"/>
          <w:color w:val="auto"/>
        </w:rPr>
      </w:pPr>
    </w:p>
    <w:p>
      <w:pPr>
        <w:ind w:firstLine="648"/>
        <w:spacing w:after="0" w:line="277" w:lineRule="auto"/>
        <w:tabs>
          <w:tab w:leader="none" w:pos="8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Performance Awards and Performance Measures</w:t>
      </w:r>
      <w:r>
        <w:rPr>
          <w:rFonts w:ascii="Times New Roman" w:cs="Times New Roman" w:eastAsia="Times New Roman" w:hAnsi="Times New Roman"/>
          <w:sz w:val="18"/>
          <w:szCs w:val="18"/>
          <w:color w:val="auto"/>
        </w:rPr>
        <w:t>. The method of determining the value of the Performance Award and the Performance Measures and Performance Period applicable to a Performance Award shall be determined by the Committee.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8" w:name="page19"/>
    <w:bookmarkEnd w:id="18"/>
    <w:p>
      <w:pPr>
        <w:jc w:val="both"/>
        <w:ind w:firstLine="648"/>
        <w:spacing w:after="0" w:line="257" w:lineRule="auto"/>
        <w:tabs>
          <w:tab w:leader="none" w:pos="9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 The Agreement relating to a Performance Award shall provide, in the manner determined by the Committee, in its discretion, and subject to the provisions of this Plan, for the vesting of such Performance Award if the specified Performance Measures are satisfied or met during the specified Performance Period and for the forfeiture of such award if the specified Performance Measures are not satisfied or met during the specified Performance Period.</w:t>
      </w:r>
    </w:p>
    <w:p>
      <w:pPr>
        <w:spacing w:after="0" w:line="182" w:lineRule="exact"/>
        <w:rPr>
          <w:rFonts w:ascii="Times New Roman" w:cs="Times New Roman" w:eastAsia="Times New Roman" w:hAnsi="Times New Roman"/>
          <w:sz w:val="18"/>
          <w:szCs w:val="18"/>
          <w:color w:val="auto"/>
        </w:rPr>
      </w:pPr>
    </w:p>
    <w:p>
      <w:pPr>
        <w:jc w:val="both"/>
        <w:ind w:firstLine="648"/>
        <w:spacing w:after="0" w:line="252" w:lineRule="auto"/>
        <w:tabs>
          <w:tab w:leader="none" w:pos="8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Vested Performance Awards</w:t>
      </w:r>
      <w:r>
        <w:rPr>
          <w:rFonts w:ascii="Times New Roman" w:cs="Times New Roman" w:eastAsia="Times New Roman" w:hAnsi="Times New Roman"/>
          <w:sz w:val="18"/>
          <w:szCs w:val="18"/>
          <w:color w:val="auto"/>
        </w:rPr>
        <w:t xml:space="preserve">. The Agreement relating to a Performance Award shall specify whether such award may be settled in shares of Common Stock (including shares of Restricted Stock) or cash or a combination thereof. If a Performance Award is settled in shares of Restricted Stock, such shares of Restricted Stock shall be issued to the holder in book entry form or a certificate or certificates representing such Restricted Stock shall be issued in accordance with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and the holder of such Restricted Stock shall have such rights as a stockholder of the Company as determined pursuant to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Any dividends or dividend equivalents with respect to a Performance Award shall be subject to the same vesting restrictions as such Performance Award. Prior to the settlement of a Performance Award in shares of Common Stock, including Restricted Stock, the holder of such award shall have no rights as a stockholder of the Company.</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4.3 Termination of Employment or Service</w:t>
      </w:r>
      <w:r>
        <w:rPr>
          <w:rFonts w:ascii="Times New Roman" w:cs="Times New Roman" w:eastAsia="Times New Roman" w:hAnsi="Times New Roman"/>
          <w:sz w:val="18"/>
          <w:szCs w:val="18"/>
          <w:color w:val="auto"/>
        </w:rPr>
        <w:t>. All of the terms relating to the satisfaction of Performance Measures and the termination of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relating to a Performance Award, or any forfeiture and cancellation of such award (i) upon a termination of employment with or service to the Company of the holder of such award, whether by reason of termination, resignation, disability, retirement, death or any other reason, or (ii) during a paid or unpaid leave of absence, shall be determined by the Committee and set forth in the applicable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 GENERAL</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5.1 Effective Date and Term of Plan</w:t>
      </w:r>
      <w:r>
        <w:rPr>
          <w:rFonts w:ascii="Times New Roman" w:cs="Times New Roman" w:eastAsia="Times New Roman" w:hAnsi="Times New Roman"/>
          <w:sz w:val="18"/>
          <w:szCs w:val="18"/>
          <w:color w:val="auto"/>
        </w:rPr>
        <w:t>. The Plan will become effective upon the Stockholder Approval Date. The Plan shall terminate on the 20th anniversary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on which the Plan was approved by stockholders, unless terminated earlier by the Board. Termination of this Plan shall not affect the terms or conditions of any award granted prior to termination. Awards hereunder may be made at any time prior to the termination of this Plan, provided that no Incentive Stock Option may be granted later than 20 years after the date on which the Plan was approved by the Board. In the event that this Plan is not approved by the stockholders of the Company, this Plan and any awards hereunder shall be void and of no force or effect.</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5.2 Amendments</w:t>
      </w:r>
      <w:r>
        <w:rPr>
          <w:rFonts w:ascii="Times New Roman" w:cs="Times New Roman" w:eastAsia="Times New Roman" w:hAnsi="Times New Roman"/>
          <w:sz w:val="18"/>
          <w:szCs w:val="18"/>
          <w:color w:val="auto"/>
        </w:rPr>
        <w:t>. The Board or, subject to applicable law, the Committee may amend, modify, or terminate this Plan or any Agreement as it shall deem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advisable;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amendment to the Plan or any Agreement shall be effective without the approval of the Company’s stockholders if (i) stockholder approval is required by applicable law, rule or regulation, including any rule of the NASDAQ Capital Market, or any other stock exchange on which the Common Stock is then traded, or(ii) such amendment seeks to modify the Non-Employee Director compensation limit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provided further, that no amendment may materially impair the rights of a holder of an outstanding award without the consent of such holder. Notwithstanding anything herein to the contrary, the Board may amend the Plan or any Agreement at anytime without the consent of a holder of an outstanding award to company with applicable law, including Section 409A of the Code.</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5.3 Agreement</w:t>
      </w:r>
      <w:r>
        <w:rPr>
          <w:rFonts w:ascii="Times New Roman" w:cs="Times New Roman" w:eastAsia="Times New Roman" w:hAnsi="Times New Roman"/>
          <w:sz w:val="18"/>
          <w:szCs w:val="18"/>
          <w:color w:val="auto"/>
        </w:rPr>
        <w:t>. Each award under this Plan shall be evidenced by an Agreement setting forth the terms and conditions applicable to such award. No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valid until an Agreement is executed by the Company and, to the extent required by the Company, executed or electronically accepted by the recipient of such award. Upon such execution or acceptance and delivery of the Agreement to the Company within the time period specified by the Company, such award shall be effective as of the effective date set forth in the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 w:name="page20"/>
    <w:bookmarkEnd w:id="19"/>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5.4 Non-Transferability</w:t>
      </w:r>
      <w:r>
        <w:rPr>
          <w:rFonts w:ascii="Times New Roman" w:cs="Times New Roman" w:eastAsia="Times New Roman" w:hAnsi="Times New Roman"/>
          <w:sz w:val="18"/>
          <w:szCs w:val="18"/>
          <w:color w:val="auto"/>
        </w:rPr>
        <w:t>. No award shall be transferable other than by will, the laws of descent and distribution or pursuant to beneficiary designation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approved by the Company or, to the extent expressly permitted in the Agreement relating to such award, to the holder’s family members, a trust or entity established by the holder for estate planning purposes, a charitable organization designated by the holder or pursuant to a domestic relations order, in each case, without consideration. Except to the extent permitted by the foregoing sentence or the Agreement relating to an award, each award may be exercised or settled during the holder’s lifetime only by the holder or the holder’s legal representative or similar person. Except as permitted by the second preceding sentence, no award may be sold, transferred, assigned, pledged, hypothecated, encumbered or otherwise disposed of(whether by operation of law or otherwise) or be subject to execution, attachment or similar process. Upon any attempt to so sell, transfer, assign, pledge, hypothecate, encumber or otherwise dispose of any award, such award and all rights thereunder shall immediately become null and void.</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5.5 Tax Withholding</w:t>
      </w:r>
      <w:r>
        <w:rPr>
          <w:rFonts w:ascii="Times New Roman" w:cs="Times New Roman" w:eastAsia="Times New Roman" w:hAnsi="Times New Roman"/>
          <w:sz w:val="17"/>
          <w:szCs w:val="17"/>
          <w:color w:val="auto"/>
        </w:rPr>
        <w:t>. The Company shall have the right to require, prior to the issuance or delivery of any shares of Common Stock or the payment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cash pursuant to an award made hereunder, payment by the holder of such award of any federal, state, local or other taxes which may be required to be withheld or paid in connection with such award. An Agreement may provide that (i) the Company shall withhold whole shares of Common Stock which would otherwise be delivered to a holder, having an aggregate Fair Market Value determined as of the date the obligation to withhold or pay taxes arises in connection with an award (the “</w:t>
      </w:r>
      <w:r>
        <w:rPr>
          <w:rFonts w:ascii="Times New Roman" w:cs="Times New Roman" w:eastAsia="Times New Roman" w:hAnsi="Times New Roman"/>
          <w:sz w:val="17"/>
          <w:szCs w:val="17"/>
          <w:u w:val="single" w:color="auto"/>
          <w:color w:val="auto"/>
        </w:rPr>
        <w:t>Tax Date</w:t>
      </w:r>
      <w:r>
        <w:rPr>
          <w:rFonts w:ascii="Times New Roman" w:cs="Times New Roman" w:eastAsia="Times New Roman" w:hAnsi="Times New Roman"/>
          <w:sz w:val="17"/>
          <w:szCs w:val="17"/>
          <w:color w:val="auto"/>
        </w:rPr>
        <w:t>”), or withhold an amount of cash which would otherwise be payable to a holder, in the amount necessary to satisfy any such obligation or (ii) the holder may satisfy any such obligation by any of the following means: (A) a cash or check payment to the Company; (B)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(C) authorizing the Company to withhold whole shares of Common Stock which would otherwise be delivered having an aggregate Fair Market Value, determined as of the Tax Date, or withhold an amount of cash which would otherwise be payable to a holder, in either case equal to the amount necessary to satisfy any such obligation; (D) a cash payment by a broker-dealer acceptable to the Company to whom the participant has submitted an irrevocable notice of exercise or sale,</w:t>
      </w:r>
    </w:p>
    <w:p>
      <w:pPr>
        <w:spacing w:after="0" w:line="9" w:lineRule="exact"/>
        <w:rPr>
          <w:sz w:val="20"/>
          <w:szCs w:val="20"/>
          <w:color w:val="auto"/>
        </w:rPr>
      </w:pPr>
    </w:p>
    <w:p>
      <w:pPr>
        <w:jc w:val="both"/>
        <w:ind w:firstLine="7"/>
        <w:spacing w:after="0" w:line="268" w:lineRule="auto"/>
        <w:tabs>
          <w:tab w:leader="none" w:pos="28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methods permitted by applicable law, or (F) a combination of the foregoing, in each case to the extent set forth in the Agreement relating to the award. Shares of Common Stock to be delivered or withheld may not have an aggregate Fair Market Value in excess of the amount determined by applying the minimum statutory withholding rate (or, if permitted by the Company, such other rate as will not cause adverse accounting consequences under the accounting rules then in effect, and is permitted under applicable Internal Revenue Service withholding rules). Any fraction of a share of Common Stock which would be required to satisfy such an obligation shall be disregarded and the remaining amount due shall be paid in cash by the holder.</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5.6 Restrictions on Shares</w:t>
      </w:r>
      <w:r>
        <w:rPr>
          <w:rFonts w:ascii="Times New Roman" w:cs="Times New Roman" w:eastAsia="Times New Roman" w:hAnsi="Times New Roman"/>
          <w:sz w:val="18"/>
          <w:szCs w:val="18"/>
          <w:color w:val="auto"/>
        </w:rPr>
        <w:t>. Each award made hereunder shall be subject to the requirement that if at any time the Company determines that the listing,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or qualification of the shares of Common Stock subject to such award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holder is prohibited except in compliance with the Securities Act of 1933, as amended, and the rules and regulations thereunder.</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5.7 Adjustment</w:t>
      </w:r>
      <w:r>
        <w:rPr>
          <w:rFonts w:ascii="Times New Roman" w:cs="Times New Roman" w:eastAsia="Times New Roman" w:hAnsi="Times New Roman"/>
          <w:sz w:val="18"/>
          <w:szCs w:val="18"/>
          <w:color w:val="auto"/>
        </w:rPr>
        <w:t>. In the event of any equity restructuring (within the meaning of Financial Accounting Standards Board Accounting Standards Codification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Topic 718,Compensation — Stock Compensation or any successor or replacement accounting standard) that causes the per share value of shares of Common Stock to change, such as a stock dividend, stock split, spinoff, rights offering or recapitalization through an extraordinary cash dividend, the number and class of securities available under this Plan, the terms of each outstanding option and SAR (including the number and class of securities subject to each outstanding option or SAR and the purchase price or base price per share), the terms of each outstanding Stock Award (including the number and class of securities subject thereto), and the terms of each outstanding Performance Award (including the number and class of securities subject thereto, if applicable), shall be appropriately adjusted by the Committee, such adjustments to be made in the case of outstanding options and SARs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5.8 Change in Control</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right="20" w:firstLine="648"/>
        <w:spacing w:after="0" w:line="277" w:lineRule="auto"/>
        <w:tabs>
          <w:tab w:leader="none" w:pos="9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applicable Agreements, in the event of a “Change in Control,” the Board, as constituted prior to the Change in Control, may, in its discretion:</w:t>
      </w:r>
    </w:p>
    <w:p>
      <w:pPr>
        <w:spacing w:after="0" w:line="163" w:lineRule="exact"/>
        <w:rPr>
          <w:rFonts w:ascii="Times New Roman" w:cs="Times New Roman" w:eastAsia="Times New Roman" w:hAnsi="Times New Roman"/>
          <w:sz w:val="18"/>
          <w:szCs w:val="18"/>
          <w:color w:val="auto"/>
        </w:rPr>
      </w:pPr>
    </w:p>
    <w:p>
      <w:pPr>
        <w:jc w:val="both"/>
        <w:ind w:left="640" w:firstLine="649"/>
        <w:spacing w:after="0" w:line="255" w:lineRule="auto"/>
        <w:tabs>
          <w:tab w:leader="none" w:pos="15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(i) some or all outstanding options and SARs shall become exercisable in full or in part, either immediately or upon a subsequent termination of employment, (ii) the Restriction Period applicable to some or all outstanding Stock Awards shall lapse in full or in part, either immediately or upon a subsequent termination of employment, (iii) the Performance Period applicable to some or all outstanding awards shall lapse in full or in part, and (iv) the Performance Measures applicable to some or all outstanding awards shall be deemed to be satisfied at the target, maximum or any other level;</w:t>
      </w:r>
    </w:p>
    <w:p>
      <w:pPr>
        <w:spacing w:after="0" w:line="182" w:lineRule="exact"/>
        <w:rPr>
          <w:rFonts w:ascii="Times New Roman" w:cs="Times New Roman" w:eastAsia="Times New Roman" w:hAnsi="Times New Roman"/>
          <w:sz w:val="18"/>
          <w:szCs w:val="18"/>
          <w:color w:val="auto"/>
        </w:rPr>
      </w:pPr>
    </w:p>
    <w:p>
      <w:pPr>
        <w:jc w:val="both"/>
        <w:ind w:left="640" w:right="20" w:firstLine="649"/>
        <w:spacing w:after="0" w:line="262" w:lineRule="auto"/>
        <w:tabs>
          <w:tab w:leader="none" w:pos="154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that shares of capital stock of the corporation resulting from or succeeding to the business of the Company pursuant to such Change in Control (or a parent corporation thereof) or other property be substituted for some or all of the shares of Common Stock subject to an outstanding award, with an appropriate and equitable adjustment to such award as determined by the Board in accordance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and/or</w:t>
      </w:r>
    </w:p>
    <w:p>
      <w:pPr>
        <w:spacing w:after="0" w:line="177" w:lineRule="exact"/>
        <w:rPr>
          <w:rFonts w:ascii="Times New Roman" w:cs="Times New Roman" w:eastAsia="Times New Roman" w:hAnsi="Times New Roman"/>
          <w:sz w:val="18"/>
          <w:szCs w:val="18"/>
          <w:color w:val="auto"/>
        </w:rPr>
      </w:pPr>
    </w:p>
    <w:p>
      <w:pPr>
        <w:jc w:val="both"/>
        <w:ind w:left="640" w:firstLine="649"/>
        <w:spacing w:after="0" w:line="249" w:lineRule="auto"/>
        <w:tabs>
          <w:tab w:leader="none" w:pos="153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outstanding awards, in whole or in part, to be surrendered to the Company by the holder, and to be immediately cancelled by the Company, and to provide for the holder to receive (i) a cash payment in an amount equal to (A) in the case of an option or an SAR, the aggregate number of shares of Common Stock then subject to the portion of such option or SAR surrendered, whether or not vested or exercisable, multiplied by the excess, if any, of the Fair Market Value of a share of Common Stock as of the date of the Change in Control, over the purchase price or base price per share of Common Stock subject to such option or SAR;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purchase price or base price per share of Common Stock subject to such option or SAR exceeds the Fair Market Value of a share of Common Stock as of the date of the Change in Control, such option or SAR may be cancelled for no consideration, (B) in the case of a Stock Award or a Performance Award denominated in shares of Common Stock, the number of shares of Common Stock then subject to the portion of such award surrendered to the extent the Performance Measures applicable to such award have been satisfied or are deemed satisfied pursuant to </w:t>
      </w:r>
      <w:r>
        <w:rPr>
          <w:rFonts w:ascii="Times New Roman" w:cs="Times New Roman" w:eastAsia="Times New Roman" w:hAnsi="Times New Roman"/>
          <w:sz w:val="18"/>
          <w:szCs w:val="18"/>
          <w:u w:val="single" w:color="auto"/>
          <w:color w:val="auto"/>
        </w:rPr>
        <w:t>Section 5.8(a)(i)</w:t>
      </w:r>
      <w:r>
        <w:rPr>
          <w:rFonts w:ascii="Times New Roman" w:cs="Times New Roman" w:eastAsia="Times New Roman" w:hAnsi="Times New Roman"/>
          <w:sz w:val="18"/>
          <w:szCs w:val="18"/>
          <w:color w:val="auto"/>
        </w:rPr>
        <w:t xml:space="preserve">,whether or not vested, multiplied by the Fair Market Value of a share of Common Stock as of the date of the Change in Control, and (C) in the case of a Performance Award denominated in cash, the value of the Performance Award then subject to the portion of such award surrendered to the extent the Performance Measures applicable to such award have been satisfied or are deemed satisfied pursuant to </w:t>
      </w:r>
      <w:r>
        <w:rPr>
          <w:rFonts w:ascii="Times New Roman" w:cs="Times New Roman" w:eastAsia="Times New Roman" w:hAnsi="Times New Roman"/>
          <w:sz w:val="18"/>
          <w:szCs w:val="18"/>
          <w:u w:val="single" w:color="auto"/>
          <w:color w:val="auto"/>
        </w:rPr>
        <w:t>Section 5.8(a)(i)</w:t>
      </w:r>
      <w:r>
        <w:rPr>
          <w:rFonts w:ascii="Times New Roman" w:cs="Times New Roman" w:eastAsia="Times New Roman" w:hAnsi="Times New Roman"/>
          <w:sz w:val="18"/>
          <w:szCs w:val="18"/>
          <w:color w:val="auto"/>
        </w:rPr>
        <w:t>; (ii) shares of capital stock of the corporation resulting from or succeeding to the business of the Company pursuant to such Change in Control (or a parent corporation thereof) or other property, having a fair market value not less than the amount determined under clause (i) above; or (iii) a combination of the payment of cash pursuant to clause (i) above and the issuance of shares or other property pursuant to clause (ii) above.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1" w:name="page22"/>
    <w:bookmarkEnd w:id="21"/>
    <w:p>
      <w:pPr>
        <w:ind w:left="900" w:hanging="252"/>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Plan, a “Change in Control” shall be deemed to have occurred under the following circumstances:</w:t>
      </w:r>
    </w:p>
    <w:p>
      <w:pPr>
        <w:spacing w:after="0" w:line="220" w:lineRule="exact"/>
        <w:rPr>
          <w:rFonts w:ascii="Times New Roman" w:cs="Times New Roman" w:eastAsia="Times New Roman" w:hAnsi="Times New Roman"/>
          <w:sz w:val="18"/>
          <w:szCs w:val="18"/>
          <w:color w:val="auto"/>
        </w:rPr>
      </w:pPr>
    </w:p>
    <w:p>
      <w:pPr>
        <w:jc w:val="both"/>
        <w:ind w:left="640" w:firstLine="649"/>
        <w:spacing w:after="0" w:line="250" w:lineRule="auto"/>
        <w:tabs>
          <w:tab w:leader="none" w:pos="153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shares of the Company that, together with the shares held by such Person, constitutes more than fifty percent (50%) of the total voting power of the shares of the Company (an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this subsection, the acquisition of additional shares by any one Person, who is considered to own more than fifty percent (50%) of the total voting power of the shares of the Company will not be considered an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change in the ownership of the shares of the Company as a result of a private financing of the Company that is approved by the Board also will not be considered an Acquisition. Further, if the members of the Company immediately before such change in ownership continue to retain immediately after the change in ownership, in substantially the same proportions as their ownership of shares of the Company’s voting shares immediately prior to the change in ownership, direct or indirect beneficial ownership of fifty percent (50%) or more of the total voting power of the shares of the Company or of the ultimate parent entity of the Company, such event shall not be considered an Acquisition under this </w:t>
      </w:r>
      <w:r>
        <w:rPr>
          <w:rFonts w:ascii="Times New Roman" w:cs="Times New Roman" w:eastAsia="Times New Roman" w:hAnsi="Times New Roman"/>
          <w:sz w:val="18"/>
          <w:szCs w:val="18"/>
          <w:u w:val="single" w:color="auto"/>
          <w:color w:val="auto"/>
        </w:rPr>
        <w:t>Section 5.8(b)(1)</w:t>
      </w:r>
      <w:r>
        <w:rPr>
          <w:rFonts w:ascii="Times New Roman" w:cs="Times New Roman" w:eastAsia="Times New Roman" w:hAnsi="Times New Roman"/>
          <w:sz w:val="18"/>
          <w:szCs w:val="18"/>
          <w:color w:val="auto"/>
        </w:rPr>
        <w:t>.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w:t>
      </w:r>
    </w:p>
    <w:p>
      <w:pPr>
        <w:spacing w:after="0" w:line="189" w:lineRule="exact"/>
        <w:rPr>
          <w:rFonts w:ascii="Times New Roman" w:cs="Times New Roman" w:eastAsia="Times New Roman" w:hAnsi="Times New Roman"/>
          <w:sz w:val="18"/>
          <w:szCs w:val="18"/>
          <w:color w:val="auto"/>
        </w:rPr>
      </w:pPr>
    </w:p>
    <w:p>
      <w:pPr>
        <w:jc w:val="both"/>
        <w:ind w:left="640" w:firstLine="649"/>
        <w:spacing w:after="0" w:line="255" w:lineRule="auto"/>
        <w:tabs>
          <w:tab w:leader="none" w:pos="15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Effective Control of the Company</w:t>
      </w:r>
      <w:r>
        <w:rPr>
          <w:rFonts w:ascii="Times New Roman" w:cs="Times New Roman" w:eastAsia="Times New Roman" w:hAnsi="Times New Roman"/>
          <w:sz w:val="18"/>
          <w:szCs w:val="18"/>
          <w:color w:val="auto"/>
        </w:rPr>
        <w:t xml:space="preserve">.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w:t>
      </w:r>
      <w:r>
        <w:rPr>
          <w:rFonts w:ascii="Times New Roman" w:cs="Times New Roman" w:eastAsia="Times New Roman" w:hAnsi="Times New Roman"/>
          <w:sz w:val="18"/>
          <w:szCs w:val="18"/>
          <w:u w:val="single" w:color="auto"/>
          <w:color w:val="auto"/>
        </w:rPr>
        <w:t>Section 5.8(b)(2)</w:t>
      </w:r>
      <w:r>
        <w:rPr>
          <w:rFonts w:ascii="Times New Roman" w:cs="Times New Roman" w:eastAsia="Times New Roman" w:hAnsi="Times New Roman"/>
          <w:sz w:val="18"/>
          <w:szCs w:val="18"/>
          <w:color w:val="auto"/>
        </w:rPr>
        <w:t>, if any Person is considered to be in effective control of the Company, the acquisition of additional control of the Company by the same Person will not be considered an Acquisition;</w:t>
      </w:r>
    </w:p>
    <w:p>
      <w:pPr>
        <w:spacing w:after="0" w:line="182" w:lineRule="exact"/>
        <w:rPr>
          <w:rFonts w:ascii="Times New Roman" w:cs="Times New Roman" w:eastAsia="Times New Roman" w:hAnsi="Times New Roman"/>
          <w:sz w:val="18"/>
          <w:szCs w:val="18"/>
          <w:color w:val="auto"/>
        </w:rPr>
      </w:pPr>
    </w:p>
    <w:p>
      <w:pPr>
        <w:jc w:val="both"/>
        <w:ind w:left="640" w:firstLine="649"/>
        <w:spacing w:after="0" w:line="250" w:lineRule="auto"/>
        <w:tabs>
          <w:tab w:leader="none" w:pos="154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a Substantial Portion of the Company’s Assets</w:t>
      </w:r>
      <w:r>
        <w:rPr>
          <w:rFonts w:ascii="Times New Roman" w:cs="Times New Roman" w:eastAsia="Times New Roman" w:hAnsi="Times New Roman"/>
          <w:sz w:val="18"/>
          <w:szCs w:val="18"/>
          <w:color w:val="auto"/>
        </w:rPr>
        <w:t xml:space="preserve">.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this subsection (c), the following will not constitute a change in the ownership of a substantial portion of the Company’s assets: (A) a transfer to an entity that is controlled by the Company’s members immediately after the transfer, or (B) a transfer of assets by the Company to: (1) a member of the Company (immediately before the asset transfer) in exchange for or with respect to the Company’s shares, an entity, fifty percent (50%) or more of the total value or voting power of which is owned, directly or indirectly, by the Company, (3) a Person, that owns, directly or indirectly, fifty percent (50%) or more of the total value or voting power of all the outstanding shares of the Company, or (4) an entity, at least fifty percent (50%) of the total value or voting power of which is owned, directly or indirectly, by a Person described in this subsection (b)(3). For purposes of this </w:t>
      </w:r>
      <w:r>
        <w:rPr>
          <w:rFonts w:ascii="Times New Roman" w:cs="Times New Roman" w:eastAsia="Times New Roman" w:hAnsi="Times New Roman"/>
          <w:sz w:val="18"/>
          <w:szCs w:val="18"/>
          <w:u w:val="single" w:color="auto"/>
          <w:color w:val="auto"/>
        </w:rPr>
        <w:t>Section 5.8(b)(3)</w:t>
      </w:r>
      <w:r>
        <w:rPr>
          <w:rFonts w:ascii="Times New Roman" w:cs="Times New Roman" w:eastAsia="Times New Roman" w:hAnsi="Times New Roman"/>
          <w:sz w:val="18"/>
          <w:szCs w:val="18"/>
          <w:color w:val="auto"/>
        </w:rPr>
        <w:t>, gross fair market value means the value of the assets of the Company, or the value of the assets being disposed of, determined without regard to any liabilities associated with such assets.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Provided, that with respect to any nonqualified deferred compensation that becomes payable on account of the Change in Control, the transaction or event described in clause (1),(2) or (3) also constitutes a “change in control event,” as defined in Treasury Regulation §1.409A-3(i)(5) if required in order for the payment not to violate Section 409A of the Code.</w:t>
      </w:r>
    </w:p>
    <w:p>
      <w:pPr>
        <w:spacing w:after="0" w:line="1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persons will be considered to be acting as a group if they are owners of a corporation that enters into a merger, consolidation, purchase or acquisition of shares, or similar business transaction with the Company.</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addition, a “Person,” as used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shall not include (w) the Company or any of its Affiliates; (x) a trustee or other fiduciary holding securities under an employee benefit plan of the Company or any of its Subsidiaries; (y) an underwriter temporarily holding securities pursuant to an offering of such securities; or (z) a corporation owned, directly or indirectly, by the stockholders of the Company in substantially the same proportions as their ownership of stock of the Company.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2" w:name="page23"/>
    <w:bookmarkEnd w:id="22"/>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5.9 Deferrals</w:t>
      </w:r>
      <w:r>
        <w:rPr>
          <w:rFonts w:ascii="Times New Roman" w:cs="Times New Roman" w:eastAsia="Times New Roman" w:hAnsi="Times New Roman"/>
          <w:sz w:val="18"/>
          <w:szCs w:val="18"/>
          <w:color w:val="auto"/>
        </w:rPr>
        <w:t>. The Committee may determine that the delivery of shares of Common Stock or the payment of cash, or a combination thereof,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of all or a portion of any award made hereunder shall be deferred, or the Committee may, in its sole discretion, approve deferral elections made by holders of awards. Deferrals shall be for such periods and upon such terms as the Committee may determine in its sole discretion, subject to the requirements of Section 409A of the Code.</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5.10 No Right of Participation, Employment or Service</w:t>
      </w:r>
      <w:r>
        <w:rPr>
          <w:rFonts w:ascii="Times New Roman" w:cs="Times New Roman" w:eastAsia="Times New Roman" w:hAnsi="Times New Roman"/>
          <w:sz w:val="18"/>
          <w:szCs w:val="18"/>
          <w:color w:val="auto"/>
        </w:rPr>
        <w:t>. Unless otherwise set forth in an employment agreement, no person shall have any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this Plan. Neither this Plan nor any award made hereunder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w:t>
      </w:r>
    </w:p>
    <w:p>
      <w:pPr>
        <w:spacing w:after="0" w:line="1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5.11 Rights as Stockholder</w:t>
      </w:r>
      <w:r>
        <w:rPr>
          <w:rFonts w:ascii="Times New Roman" w:cs="Times New Roman" w:eastAsia="Times New Roman" w:hAnsi="Times New Roman"/>
          <w:sz w:val="18"/>
          <w:szCs w:val="18"/>
          <w:color w:val="auto"/>
        </w:rPr>
        <w:t>. No person shall have any right as a stockholder of the Company with respect to any shares of Common Stock or other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of the Company which is subject to an award hereunder unless and until such person becomes a stockholder of record with respect to such shares of Common Stock or equity security.</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5.12 Designation of Beneficiary</w:t>
      </w:r>
      <w:r>
        <w:rPr>
          <w:rFonts w:ascii="Times New Roman" w:cs="Times New Roman" w:eastAsia="Times New Roman" w:hAnsi="Times New Roman"/>
          <w:sz w:val="18"/>
          <w:szCs w:val="18"/>
          <w:color w:val="auto"/>
        </w:rPr>
        <w:t>. To the extent permitted by the Company, a holder of an award may file with the Company a written designation of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persons as such holder’s beneficiary or beneficiaries (both primary and contingent) in the event of the holder’s death or incapacity. To the extent an outstanding option or SAR granted hereunder is exercisable, such beneficiary or beneficiaries shall be entitled to exercise such option or SAR pursuant to procedures prescribed by the Company. Each beneficiary designation shall become effective only when filed in writing with the Company during the holder’s lifetime on a form prescribed by the Company. The spouse of a married holder domiciled in a community property jurisdiction shall join in any designation of a beneficiary other than such spouse. The filing with the Company of a new beneficiary designation shall cancel all previously filed beneficiary designations. If a holder fails to designate a beneficiary, or if all designated beneficiaries of a holder predecease the holder, then each outstanding award held by such holder, to the extent vested or exercisable, shall be payable to or may be exercised by such holder’s executor, administrator, legal representative or similar person.</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5.13 Awards Subject to Clawback</w:t>
      </w:r>
      <w:r>
        <w:rPr>
          <w:rFonts w:ascii="Times New Roman" w:cs="Times New Roman" w:eastAsia="Times New Roman" w:hAnsi="Times New Roman"/>
          <w:sz w:val="18"/>
          <w:szCs w:val="18"/>
          <w:color w:val="auto"/>
        </w:rPr>
        <w:t>. The awards granted under this Plan and any cash payment or shares of Common Stock delivered pursuant to such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are subject to forfeiture, recovery by the Company or other action pursuant to the applicable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5.14 Section 409A</w:t>
      </w:r>
      <w:r>
        <w:rPr>
          <w:rFonts w:ascii="Times New Roman" w:cs="Times New Roman" w:eastAsia="Times New Roman" w:hAnsi="Times New Roman"/>
          <w:sz w:val="17"/>
          <w:szCs w:val="17"/>
          <w:color w:val="auto"/>
        </w:rPr>
        <w:t>. This Plan is intended to comply with the applicable requirements of Section 409A of the Code and shall be limited, construed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interpreted in accordance with such intent. To the extent that any award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Notwithstanding anything hereinto the contrary, any provision in this Plan that is inconsistent with Section 409A of the Code shall be deemed to be amended to comply with Section 409A of the Code and to the extent such provision cannot be amended to comply therewith, such provision shall be null and void. The Company shall have no liability to a participant, or any other party, if an award that is intended to be exempt from, or compliant with, Section 409A of the Code is not so exempt or compliant or for any action taken by the Committee or the Company and, in the event that any amount or benefit under this Plan becomes subject to penalties under Section 409A of the Code, responsibility for payment of such penalties shall rest solely with the affected participants and not with the Company. Notwithstanding any contrary provision in this Plan or an Agreement, any payment(s) of “nonqualified deferred compensation” (within the meaning of Section 409A of the Code) that are otherwise required to be made under this Plan to a “specified employee” (as defined under Section 409Aof the Code) as a result of such employee’s separation from service (other than a payment that is not subject to Section 409A of the Code) shall be delayed for the first six(6) months following such separation from service (or, if earlier, the date of death of the specified employee) and shall instead be paid (in a manner set forth in the Agreement) upon expiration of such delay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3" w:name="page24"/>
    <w:bookmarkEnd w:id="23"/>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5.15 Data Privacy</w:t>
      </w:r>
      <w:r>
        <w:rPr>
          <w:rFonts w:ascii="Times New Roman" w:cs="Times New Roman" w:eastAsia="Times New Roman" w:hAnsi="Times New Roman"/>
          <w:sz w:val="18"/>
          <w:szCs w:val="18"/>
          <w:color w:val="auto"/>
        </w:rPr>
        <w:t>. As a condition for receiving any award under the Plan, each participant explicitly and unambiguously consents to the collection, use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in electronic or other form, of personal data as described in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or other identification number; salary; nationality; job title(s); any shares of Common Stock held in the Company or its Subsidiaries and affiliates; and award details, to implement, manage and administer the Plan and awards (the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xml:space="preserve">”).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of Common Stock.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in writing, without cost, by contacting the local human resources representative. The Company may cancel participant’s ability to participate in the Plan and, in the Committee’s sole discretion, the participant may forfeit any outstanding awards if the participant refuses or withdraws the consents in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For more information on the consequences of refusing or withdrawing consent, participants may contact their local human resources representative.</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5.16 Limitations Applicable to Section 16 Persons</w:t>
      </w:r>
      <w:r>
        <w:rPr>
          <w:rFonts w:ascii="Times New Roman" w:cs="Times New Roman" w:eastAsia="Times New Roman" w:hAnsi="Times New Roman"/>
          <w:sz w:val="18"/>
          <w:szCs w:val="18"/>
          <w:color w:val="auto"/>
        </w:rPr>
        <w:t>. Notwithstanding any other provision of the Plan, the Plan and any award granted or awarded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5.17 Prohibition on Executive Officer Loans</w:t>
      </w:r>
      <w:r>
        <w:rPr>
          <w:rFonts w:ascii="Times New Roman" w:cs="Times New Roman" w:eastAsia="Times New Roman" w:hAnsi="Times New Roman"/>
          <w:sz w:val="18"/>
          <w:szCs w:val="18"/>
          <w:color w:val="auto"/>
        </w:rPr>
        <w:t>. Notwithstanding any other provision of the Plan to the contrary, no participant who is a director 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5.18 Governing Law</w:t>
      </w:r>
      <w:r>
        <w:rPr>
          <w:rFonts w:ascii="Times New Roman" w:cs="Times New Roman" w:eastAsia="Times New Roman" w:hAnsi="Times New Roman"/>
          <w:sz w:val="18"/>
          <w:szCs w:val="18"/>
          <w:color w:val="auto"/>
        </w:rPr>
        <w:t>. This Plan, each award hereunder and the related Agreement, and all determinations made and actions taken pursuant thereto,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not otherwise governed by the Code or the laws of the United States, shall be governed by the laws of the State of Delaware and construed in accordance therewith without giving effect to principles of conflicts of laws.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5.19 Foreign Employees</w:t>
      </w:r>
      <w:r>
        <w:rPr>
          <w:rFonts w:ascii="Times New Roman" w:cs="Times New Roman" w:eastAsia="Times New Roman" w:hAnsi="Times New Roman"/>
          <w:sz w:val="18"/>
          <w:szCs w:val="18"/>
          <w:color w:val="auto"/>
        </w:rPr>
        <w:t>. Without amending this Plan, the Committee may grant awards to eligible persons who are foreign nationals and/or reside outside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United States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subplans and the like as may be necessary or advisable to comply with provisions of laws in other countries or jurisdictions in which the Company or its Subsidiaries operates or has employees.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of our report dated March 30, 2026 with respect to the audited financial statements of AIxCrypto Holdings, Inc. (the “Company”) included in the Company’s Annual Report on Form 10-K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HTL International,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HTL International,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335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of our report dated June 30, 2025, relating to the consolidated financial statements of AIxCrypto Holdings, Inc. (formerly known as Qualigen Therapeutics, Inc.) for the year ended December 31, 2024 appearing in the entity’s Annual Report on Form 10-K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275590</wp:posOffset>
            </wp:positionV>
            <wp:extent cx="71335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6" w:name="page27"/>
    <w:bookmarkEnd w:id="26"/>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AIxCrypto Holdings,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4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 par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value</w:t>
            </w:r>
          </w:p>
        </w:tc>
        <w:tc>
          <w:tcPr>
            <w:tcW w:w="20" w:type="dxa"/>
            <w:vAlign w:val="bottom"/>
          </w:tcPr>
          <w:p>
            <w:pPr>
              <w:spacing w:after="0"/>
              <w:rPr>
                <w:sz w:val="20"/>
                <w:szCs w:val="20"/>
                <w:color w:val="auto"/>
              </w:rPr>
            </w:pPr>
          </w:p>
        </w:tc>
        <w:tc>
          <w:tcPr>
            <w:tcW w:w="120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1,047,865</w:t>
            </w:r>
          </w:p>
        </w:tc>
        <w:tc>
          <w:tcPr>
            <w:tcW w:w="20" w:type="dxa"/>
            <w:vAlign w:val="bottom"/>
          </w:tcPr>
          <w:p>
            <w:pPr>
              <w:spacing w:after="0"/>
              <w:rPr>
                <w:sz w:val="20"/>
                <w:szCs w:val="20"/>
                <w:color w:val="auto"/>
              </w:rPr>
            </w:pPr>
          </w:p>
        </w:tc>
        <w:tc>
          <w:tcPr>
            <w:tcW w:w="13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$ 1.2592</w:t>
            </w:r>
          </w:p>
        </w:tc>
        <w:tc>
          <w:tcPr>
            <w:tcW w:w="40" w:type="dxa"/>
            <w:vAlign w:val="bottom"/>
          </w:tcPr>
          <w:p>
            <w:pPr>
              <w:spacing w:after="0"/>
              <w:rPr>
                <w:sz w:val="20"/>
                <w:szCs w:val="20"/>
                <w:color w:val="auto"/>
              </w:rPr>
            </w:pPr>
          </w:p>
        </w:tc>
        <w:tc>
          <w:tcPr>
            <w:tcW w:w="14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$ 1,319,471.61</w:t>
            </w:r>
          </w:p>
        </w:tc>
        <w:tc>
          <w:tcPr>
            <w:tcW w:w="40" w:type="dxa"/>
            <w:vAlign w:val="bottom"/>
          </w:tcPr>
          <w:p>
            <w:pPr>
              <w:spacing w:after="0"/>
              <w:rPr>
                <w:sz w:val="20"/>
                <w:szCs w:val="20"/>
                <w:color w:val="auto"/>
              </w:rPr>
            </w:pPr>
          </w:p>
        </w:tc>
        <w:tc>
          <w:tcPr>
            <w:tcW w:w="10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$ 182.22</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21"/>
                <w:szCs w:val="21"/>
                <w:color w:val="auto"/>
              </w:rPr>
              <w:t>$ 1,319,471.61</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$ 182.22</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$ 182.22</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820"/>
        <w:spacing w:after="0" w:line="243" w:lineRule="auto"/>
        <w:rPr>
          <w:sz w:val="20"/>
          <w:szCs w:val="20"/>
          <w:color w:val="auto"/>
        </w:rPr>
      </w:pPr>
      <w:r>
        <w:rPr>
          <w:rFonts w:ascii="Arial" w:cs="Arial" w:eastAsia="Arial" w:hAnsi="Arial"/>
          <w:sz w:val="21"/>
          <w:szCs w:val="21"/>
          <w:color w:val="auto"/>
        </w:rPr>
        <w:t>Pursuant to Rule 416(a) under the Securities Act of 1933, as amended (the "Securities Act"), this Registration Statement also covers any additional securities of AIxCrypto Holdings, Inc. (the "Registrant") that may become issuable under the Registrant's 2025 Equity Incentive Plan (the "Plan") as a result of any future stock splits, stock dividends or similar adjustments of the Registrant's outstanding shares of common stock. The proposed maximum offering price per share is estimated solely for the purpose of calculating the registration fee pursuant to Rule 457(c) and Rule 457(h)(1) of the Securities Act. The proposed maximum offering price per share is estimated to be $1.2592, based on the average of the high sales price ($1.314) and the low sales price ($1.2044) for the Registrant's common stock as reported by Nasdaq Capital Market on April 15, 2026. The 1,047,865 shares of common stock to be registered are reserved for future grants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80010</wp:posOffset>
            </wp:positionV>
            <wp:extent cx="63874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1"/>
    </w:lvl>
  </w:abstractNum>
  <w:abstractNum w:abstractNumId="2">
    <w:nsid w:val="1F16E9E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1190CDE7"/>
    <w:multiLevelType w:val="hybridMultilevel"/>
    <w:lvl w:ilvl="0">
      <w:lvlJc w:val="left"/>
      <w:lvlText w:val="(%1)"/>
      <w:numFmt w:val="lowerRoman"/>
      <w:start w:val="3"/>
    </w:lvl>
  </w:abstractNum>
  <w:abstractNum w:abstractNumId="4">
    <w:nsid w:val="66EF438D"/>
    <w:multiLevelType w:val="hybridMultilevel"/>
    <w:lvl w:ilvl="0">
      <w:lvlJc w:val="left"/>
      <w:lvlText w:val="%1"/>
      <w:numFmt w:val="lowerLetter"/>
      <w:start w:val="1"/>
    </w:lvl>
    <w:lvl w:ilvl="1">
      <w:lvlJc w:val="left"/>
      <w:lvlText w:val="(%2)"/>
      <w:numFmt w:val="decimal"/>
      <w:start w:val="2"/>
    </w:lvl>
  </w:abstractNum>
  <w:abstractNum w:abstractNumId="5">
    <w:nsid w:val="140E0F76"/>
    <w:multiLevelType w:val="hybridMultilevel"/>
    <w:lvl w:ilvl="0">
      <w:lvlJc w:val="left"/>
      <w:lvlText w:val="(%1)"/>
      <w:numFmt w:val="lowerLetter"/>
      <w:start w:val="2"/>
    </w:lvl>
    <w:lvl w:ilvl="1">
      <w:lvlJc w:val="left"/>
      <w:lvlText w:val="%2"/>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Roman"/>
      <w:start w:val="2"/>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25"/>
    </w:lvl>
    <w:lvl w:ilvl="1">
      <w:lvlJc w:val="left"/>
      <w:lvlText w:val="(%2)"/>
      <w:numFmt w:val="lowerLetter"/>
      <w:start w:val="2"/>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upperLetter"/>
      <w:start w:val="5"/>
    </w:lvl>
  </w:abstractNum>
  <w:abstractNum w:abstractNumId="17">
    <w:nsid w:val="3F2DBA31"/>
    <w:multiLevelType w:val="hybridMultilevel"/>
    <w:lvl w:ilvl="0">
      <w:lvlJc w:val="left"/>
      <w:lvlText w:val="(%1)"/>
      <w:numFmt w:val="lowerLetter"/>
      <w:start w:val="1"/>
    </w:lvl>
    <w:lvl w:ilvl="1">
      <w:lvlJc w:val="left"/>
      <w:lvlText w:val="(%2)"/>
      <w:numFmt w:val="decimal"/>
      <w:start w:val="1"/>
    </w:lvl>
  </w:abstractNum>
  <w:abstractNum w:abstractNumId="18">
    <w:nsid w:val="7C83E458"/>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9" Type="http://schemas.openxmlformats.org/officeDocument/2006/relationships/image" Target="media/image13.png"/><Relationship Id="rId32" Type="http://schemas.openxmlformats.org/officeDocument/2006/relationships/image" Target="media/image14.png"/><Relationship Id="rId35" Type="http://schemas.openxmlformats.org/officeDocument/2006/relationships/image" Target="media/image15.png"/><Relationship Id="rId38" Type="http://schemas.openxmlformats.org/officeDocument/2006/relationships/image" Target="media/image16.png"/><Relationship Id="rId41" Type="http://schemas.openxmlformats.org/officeDocument/2006/relationships/image" Target="media/image17.png"/><Relationship Id="rId44"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jpe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15" Type="http://schemas.openxmlformats.org/officeDocument/2006/relationships/hyperlink" Target="https://www.sec.gov/Archives/edgar/data/1460702/000149315226013434/form10-k.htm" TargetMode="External"/><Relationship Id="rId16" Type="http://schemas.openxmlformats.org/officeDocument/2006/relationships/hyperlink" Target="https://www.sec.gov/Archives/edgar/data/1460702/000149315226000561/form8-k.htm" TargetMode="External"/><Relationship Id="rId17" Type="http://schemas.openxmlformats.org/officeDocument/2006/relationships/hyperlink" Target="https://www.sec.gov/Archives/edgar/data/1460702/000149315226004774/form8-k.htm" TargetMode="External"/><Relationship Id="rId18" Type="http://schemas.openxmlformats.org/officeDocument/2006/relationships/hyperlink" Target="https://www.sec.gov/Archives/edgar/data/1460702/000149315226007102/form8-k.htm" TargetMode="External"/><Relationship Id="rId19" Type="http://schemas.openxmlformats.org/officeDocument/2006/relationships/hyperlink" Target="https://www.sec.gov/Archives/edgar/data/1460702/000149315226008328/form8-k.htm" TargetMode="External"/><Relationship Id="rId20" Type="http://schemas.openxmlformats.org/officeDocument/2006/relationships/hyperlink" Target="https://www.sec.gov/Archives/edgar/data/1460702/000149315226017084/form8-k.htm" TargetMode="External"/><Relationship Id="rId21" Type="http://schemas.openxmlformats.org/officeDocument/2006/relationships/hyperlink" Target="https://www.sec.gov/Archives/edgar/data/1460702/000157104915005005/t1501385_8-a12b.htm" TargetMode="External"/><Relationship Id="rId27" Type="http://schemas.openxmlformats.org/officeDocument/2006/relationships/hyperlink" Target="https://www.sec.gov/Archives/edgar/data/1460702/000157104915005411/t1501532_ex3-1.htm" TargetMode="External"/><Relationship Id="rId28" Type="http://schemas.openxmlformats.org/officeDocument/2006/relationships/hyperlink" Target="https://www.sec.gov/Archives/edgar/data/1460702/000149315217010647/ex3-1.htm" TargetMode="External"/><Relationship Id="rId30" Type="http://schemas.openxmlformats.org/officeDocument/2006/relationships/hyperlink" Target="https://www.sec.gov/Archives/edgar/data/1460702/000149315218003738/ex3-1.htm" TargetMode="External"/><Relationship Id="rId31" Type="http://schemas.openxmlformats.org/officeDocument/2006/relationships/hyperlink" Target="https://www.sec.gov/Archives/edgar/data/1460702/000149315220010166/ex3-1.htm" TargetMode="External"/><Relationship Id="rId33" Type="http://schemas.openxmlformats.org/officeDocument/2006/relationships/hyperlink" Target="https://www.sec.gov/Archives/edgar/data/1460702/000149315220010166/ex3-2.htm" TargetMode="External"/><Relationship Id="rId34" Type="http://schemas.openxmlformats.org/officeDocument/2006/relationships/hyperlink" Target="https://www.sec.gov/Archives/edgar/data/1460702/000149315220010166/ex3-3.htm" TargetMode="External"/><Relationship Id="rId36" Type="http://schemas.openxmlformats.org/officeDocument/2006/relationships/hyperlink" Target="https://www.sec.gov/Archives/edgar/data/1460702/000149315220010166/ex3-4.htm" TargetMode="External"/><Relationship Id="rId37" Type="http://schemas.openxmlformats.org/officeDocument/2006/relationships/hyperlink" Target="https://www.sec.gov/Archives/edgar/data/1460702/000149315221019709/ex3-1.htm" TargetMode="External"/><Relationship Id="rId39" Type="http://schemas.openxmlformats.org/officeDocument/2006/relationships/hyperlink" Target="https://www.sec.gov/Archives/edgar/data/1460702/000149315222033252/ex3-1.htm" TargetMode="External"/><Relationship Id="rId40" Type="http://schemas.openxmlformats.org/officeDocument/2006/relationships/hyperlink" Target="https://www.sec.gov/Archives/edgar/data/1460702/000149315224047143/ex3-2.htm" TargetMode="External"/><Relationship Id="rId42" Type="http://schemas.openxmlformats.org/officeDocument/2006/relationships/hyperlink" Target="https://www.sec.gov/Archives/edgar/data/1460702/000164117225021174/ex3-1.htm" TargetMode="External"/><Relationship Id="rId43" Type="http://schemas.openxmlformats.org/officeDocument/2006/relationships/hyperlink" Target="https://www.sec.gov/Archives/edgar/data/1460702/000149315225014965/ex4-1.htm" TargetMode="External"/><Relationship Id="rId45" Type="http://schemas.openxmlformats.org/officeDocument/2006/relationships/hyperlink" Target="https://www.sec.gov/Archives/edgar/data/1460702/000149315225023728/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2026-04-17T15:39:31Z</dcterms:created>
  <dcterms:modified xsi:type="dcterms:W3CDTF">2026-04-17T15:39:31Z</dcterms:modified>
</cp:coreProperties>
</file>