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821"/>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1990 E. Grand Ave.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El Segundo, </w:t>
            </w:r>
            <w:bookmarkStart w:id="10" w:name="xdx_90C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9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6_edei--CityAreaCode_c20260821__20"/>
      <w:bookmarkEnd w:id="12"/>
      <w:r>
        <w:rPr>
          <w:rFonts w:ascii="Times New Roman;Times;Serif" w:hAnsi="Times New Roman;Times;Serif"/>
          <w:b/>
          <w:i w:val="false"/>
          <w:caps w:val="false"/>
          <w:smallCaps w:val="false"/>
          <w:sz w:val="20"/>
        </w:rPr>
        <w:t xml:space="preserve">(760) </w:t>
      </w:r>
      <w:bookmarkStart w:id="13" w:name="xdx_909_edei--LocalPhoneNumber_c20260821"/>
      <w:bookmarkEnd w:id="13"/>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821"/>
            <w:bookmarkEnd w:id="18"/>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TradingSymbol_c20260821__2"/>
            <w:bookmarkEnd w:id="19"/>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8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Board of Directors (the “Board”) of AIxCrypto Holdings, Inc. (the “Company”) elected Jason E. Dodier as a director of the Company, effective August 24, 2026, to serve until the next annual meeting of stockholders and until his successor is duly elected and qualified, or until his earlier death,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Dodier’s election, the Board increased the size of the Board from five (5) to six (6) directors to create the vacancy filled by Mr. Dodier’s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Dodier’s election was recommended by the Nominating and Corporate Governance Committee of the Board. The Board has determined that Mr. Dodier qualifies as an “independent director” within the meaning of Nasdaq Listing Rule 5605(a)(2). There are no arrangements or understandings between Mr. Dodier and any other person pursuant to which he was selected as a director. There are no transactions or proposed transactions in which the Company is or was a participant and in which Mr. Dodier has a direct or indirect material interest requiring disclosure under Item 404(a) of Regulation S-K. There are no family relationships between Mr. Dodier and any director or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deferred committee assignments for Mr. Dodier to a subsequent Board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Dodier will receive compensation for his service on the Board pursuant to the Company’s previously approved non-employee director compensation structure. In addition, Mr. Dodier will enter into the Company’s standard form of indemnification agreement with the Company, pursuant to which the Company will agree to indemnify Mr. Dodier to the fullest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Dodier, age 39, brings over 15 years of experience in capital markets, energy economics, and complex infrastructure execution. From 2023 to 2026, Mr. Dodier served as Co-Founder and Chief Commercial Officer of Grain Ecosystem Inc., a waste-to-value and biochar carbon removal platform. In this role, Mr. Dodier led the company’s commercial function from inception through its acquisition by Mangrove Systems in April 2026. From 2021 to 2023, Mr. Dodier served as Commercial Leader at Schneider Electric, where he directed a $400 million regional business. From 2019 to 2021, Mr. Dodier served as Vice President, Development at AlphaStruxure, a joint venture between The Carlyle Group and Schneider Electric. Mr. Dodier is a member of the board of directors of Aquarius Bay Acquisition Corp.  Mr. Dodier holds an MBA from Georgetown University, McDonough School of Business (2019), a B.S. in Business Administration from Bryant University (2009), and a Six Sigma Black Belt certification from Villanova University.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865"/>
        <w:gridCol w:w="545"/>
        <w:gridCol w:w="300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795</Words>
  <Characters>4386</Characters>
  <CharactersWithSpaces>5182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