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16,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AIxCrypto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001-37428</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26-3474527</w:t>
            </w:r>
          </w:p>
        </w:tc>
      </w:tr>
      <w:tr>
        <w:trPr>
          <w:trHeight w:val="191"/>
        </w:trPr>
        <w:tc>
          <w:tcPr>
            <w:tcW w:w="2820" w:type="dxa"/>
            <w:vAlign w:val="bottom"/>
            <w:tcBorders>
              <w:top w:val="single" w:sz="8" w:color="auto"/>
            </w:tcBorders>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820" w:type="dxa"/>
            <w:vAlign w:val="bottom"/>
          </w:tcPr>
          <w:p>
            <w:pPr>
              <w:spacing w:after="0"/>
              <w:rPr>
                <w:sz w:val="24"/>
                <w:szCs w:val="24"/>
                <w:color w:val="auto"/>
              </w:rPr>
            </w:pPr>
          </w:p>
        </w:tc>
        <w:tc>
          <w:tcPr>
            <w:tcW w:w="482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1990 E. Grand Ave.</w:t>
            </w:r>
          </w:p>
        </w:tc>
        <w:tc>
          <w:tcPr>
            <w:tcW w:w="3600" w:type="dxa"/>
            <w:vAlign w:val="bottom"/>
          </w:tcPr>
          <w:p>
            <w:pPr>
              <w:spacing w:after="0"/>
              <w:rPr>
                <w:sz w:val="24"/>
                <w:szCs w:val="24"/>
                <w:color w:val="auto"/>
              </w:rPr>
            </w:pPr>
          </w:p>
        </w:tc>
      </w:tr>
      <w:tr>
        <w:trPr>
          <w:trHeight w:val="238"/>
        </w:trPr>
        <w:tc>
          <w:tcPr>
            <w:tcW w:w="2820" w:type="dxa"/>
            <w:vAlign w:val="bottom"/>
          </w:tcPr>
          <w:p>
            <w:pPr>
              <w:spacing w:after="0"/>
              <w:rPr>
                <w:sz w:val="20"/>
                <w:szCs w:val="20"/>
                <w:color w:val="auto"/>
              </w:rPr>
            </w:pPr>
          </w:p>
        </w:tc>
        <w:tc>
          <w:tcPr>
            <w:tcW w:w="4820" w:type="dxa"/>
            <w:vAlign w:val="bottom"/>
            <w:gridSpan w:val="4"/>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El Segundo, California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2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(760) 452-8111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5857 Owens Avenue,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AIXC</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ascribed to such terms in the Purchase Agreement (as defined below).</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16, 2026, AIxCrypto Holdings, Inc., a Delaware corporation (the “Company”) entered into a common shares purchase agreement (the “Purchase Agreement”) with Gold King Arthur Holding Limited, a Hong Kong limited liability company (the “Purchaser”) pursuant to which the Company agreed to sell and issue to the Purchaser in a private placement offering (the “Offering”) up to the lesser of (i) $50,000,000 in aggregate gross purchase price of duly authorized, validly issued, fully paid and non-assessable shares of common stock of the Company, par value $0.001 per share (the “Common Shares”) and</w:t>
      </w:r>
    </w:p>
    <w:p>
      <w:pPr>
        <w:spacing w:after="0" w:line="3" w:lineRule="exact"/>
        <w:rPr>
          <w:sz w:val="20"/>
          <w:szCs w:val="20"/>
          <w:color w:val="auto"/>
        </w:rPr>
      </w:pPr>
    </w:p>
    <w:p>
      <w:pPr>
        <w:jc w:val="both"/>
        <w:ind w:firstLine="8"/>
        <w:spacing w:after="0" w:line="255" w:lineRule="auto"/>
        <w:tabs>
          <w:tab w:leader="none" w:pos="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of the voting power of the Common Shares issued and outstanding immediately prior to the execution of the Purchase Agreement (the “Exchange Cap”), as adjusted pursuant to the terms of the Purchase Agreement. The Exchange Cap will not apply if and when the Company obtains shareholder approval for issuances in excess thereof in accordance with the applicable rules of the Nasdaq Capital Market.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Shares are being offered in reliance upon the exemption from the registration requirement of the Securities Act of 1933, as amended (the “Securities Act”), pursuant to Section 4(a)(2) thereof and/or Rule 506(b) of Regulation D promulgated thereunder, and applicable state securities laws. The issuance of the Common Shares has not been registered under the Securities Act and such securities may not be offered or sold in the United States absent registration or an exemption from registration under the Securities Act and any applicable state securities laws.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the purposes set forth in the Prospectus included in the Registration Statement (as defined below) and any Prospectus Supplement thereto filed pursuant to the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Purchase Agreement, upon the satisfaction of certain conditions, the Company may, at its sole discretion, direct the Purchaser to purchase Common Shares by delivering VWAP Purchase Notices from time to time during the investment period. The purchase price per share for each VWAP Purchase is equal to 93% of the lowest daily volume-weighted average price during the three consecutive Trading Days consisting of the applicable VWAP Purchase Date and the two Trading Days immediately preceding such date. The Purchaser is entitled to retain a draw fee equal to 3.0% of the gross purchase amount for each VWAP Purchase as a transaction fee, with the remaining 97% paid to the Company as the net settlement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paid to the Purchaser a one-time, non-refundable upfront fee of $100,000 upon execution of the Purchase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receipt of shareholder approval for issuances in excess of the Exchange Cap in accordance with the applicable rules of the Nasdaq Capital Market (the “Shareholder Approval”), the Company has agreed to file, within 45 calendar days after execution of the Purchase Agreement, a registration statement on Form S-1 (the “Initial Registration Statement”) with the Securities and Exchange Commission (the “Commission”) covering the resale of the Common Shares subject to the Exchange Cap, and has agreed to use commercially reasonable efforts to cause such registration to become effective within 90 days of filing (or, if subject to a full review by the Commission, 90 days plus an additional 45 days for each round of Commission comments or until resolution of all Commission comments, whichever is later). Once Shareholder Approval is obtained and has taken effect, the Company shall use its commercially reasonable efforts to file one or more additional registration statements to cover all Registrable Securities not covered by the Initial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use its reasonable best efforts to seek Shareholder Approval as soon as practicable after the closing date but no later than 45 days thereafter, and if not obtained during such period, to continue seeking Shareholder Approval every 45 days until obtained. Once Shareholder Approval is obtained, the Company will file a preliminary information statement on Schedule 14C within 30 days of receiving Shareholder Approval and file a definitive information statement on Schedule 14C ten days following the filing of the preliminary information statement. The Shareholder Approval must take effect before the Company may issue Common Shares in excess of the Exchange Cap.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earliest to occur of (i) the first day of the month next following the 24-month anniversary of the effective date of the Initial Registration Statement, (ii) the date on which the Purchaser has purchased the Total Commitment worth of Common Shares,</w:t>
      </w:r>
    </w:p>
    <w:p>
      <w:pPr>
        <w:jc w:val="both"/>
        <w:ind w:firstLine="8"/>
        <w:spacing w:after="0" w:line="253" w:lineRule="auto"/>
        <w:tabs>
          <w:tab w:leader="none" w:pos="3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Common Shares fail to be listed on a national securities exchange, (iv) the thirtieth Trading Day following commencement of bankruptcy proceedings against the Company that are not discharged or dismissed, and (v) the date on which a custodian is appointed for the Company or the Company makes a general assignment for the benefit of creditors. The Company may also terminate the Purchase Agreement after commencement upon ten Trading Days’ prior written notice to the Purchaser.</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and conditions, including certain customary and specific events that would permit the Purchaser to terminate the Purchase Agreement, including (a) the occurrence of a Fundamental Transaction, (b) material breach by the Company of its covenants or agreements under the Purchase Agreement not cured within 15 Trading Days after notice, (c) lapse in effectiveness of the Registration Statement for more than 45 consecutive Trading Days or 90 Trading Days in any 365-day period, (d) suspension of trading in the Common Shares for more than five consecutive Trading Days, and (e) certain other material breaches by the Company not cured within 15 Trading Days after notice.</w:t>
      </w:r>
    </w:p>
    <w:p>
      <w:pPr>
        <w:spacing w:after="0" w:line="200" w:lineRule="exact"/>
        <w:rPr>
          <w:sz w:val="20"/>
          <w:szCs w:val="20"/>
          <w:color w:val="auto"/>
        </w:rPr>
      </w:pP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which is filed as Exhibit 10.1 to this Current Report,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in Item 1.01 relating to the issuance of the Common Shares is hereby incorporated by reference into this Item 3.02.</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4"/>
                <w:szCs w:val="14"/>
                <w:color w:val="auto"/>
              </w:rPr>
            </w:pPr>
          </w:p>
        </w:tc>
        <w:tc>
          <w:tcPr>
            <w:tcW w:w="10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Common Shares Purchase Agreement dated June 16, 2026.</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EE"/>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AIxCrypto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Jerry Wang</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Jerry Wang</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PURCHASE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COMMON SHARES PURCHASE AGREEMENT</w:t>
      </w:r>
      <w:r>
        <w:rPr>
          <w:rFonts w:ascii="Times New Roman" w:cs="Times New Roman" w:eastAsia="Times New Roman" w:hAnsi="Times New Roman"/>
          <w:sz w:val="18"/>
          <w:szCs w:val="18"/>
          <w:color w:val="auto"/>
        </w:rPr>
        <w:t xml:space="preserve"> is made and entered into as of </w:t>
      </w:r>
      <w:r>
        <w:rPr>
          <w:rFonts w:ascii="Times New Roman" w:cs="Times New Roman" w:eastAsia="Times New Roman" w:hAnsi="Times New Roman"/>
          <w:sz w:val="18"/>
          <w:szCs w:val="18"/>
          <w:u w:val="single" w:color="auto"/>
          <w:color w:val="auto"/>
        </w:rPr>
        <w:t>6/16/2026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Gold King Arthur Holding Limited, a Hong Kong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AIxCrypto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and limitations set forth herein, the Company may issue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Investor, from time to time as provided herein, and the Investor shall purchase from the Company, up to the lesser of (i) $50,000,000 (the “</w:t>
      </w:r>
      <w:r>
        <w:rPr>
          <w:rFonts w:ascii="Times New Roman" w:cs="Times New Roman" w:eastAsia="Times New Roman" w:hAnsi="Times New Roman"/>
          <w:sz w:val="18"/>
          <w:szCs w:val="18"/>
          <w:b w:val="1"/>
          <w:bCs w:val="1"/>
          <w:i w:val="1"/>
          <w:iCs w:val="1"/>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Commitment</w:t>
      </w:r>
      <w:r>
        <w:rPr>
          <w:rFonts w:ascii="Times New Roman" w:cs="Times New Roman" w:eastAsia="Times New Roman" w:hAnsi="Times New Roman"/>
          <w:sz w:val="18"/>
          <w:szCs w:val="18"/>
          <w:color w:val="auto"/>
        </w:rPr>
        <w:t>”) in aggregate gross purchase price of duly authorized, validly issued, fully paid and non-assessable shares of common stock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 value $0.001 per share on the day of this Agreement (as may be adjusted,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and (ii) the Exchange Cap (to the extent applicable under Section 3.3); and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sales of Common Shares by the Company to the Investor will be made in reliance upon the provisions of Section 4(a)(2)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4(a)(2)</w:t>
      </w:r>
      <w:r>
        <w:rPr>
          <w:rFonts w:ascii="Times New Roman" w:cs="Times New Roman" w:eastAsia="Times New Roman" w:hAnsi="Times New Roman"/>
          <w:sz w:val="18"/>
          <w:szCs w:val="18"/>
          <w:color w:val="auto"/>
        </w:rPr>
        <w:t>”)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and/or Rule 506(b) of Regulation D promulgated by the Commission under the Securities Act (“</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and upon such other exemption from the registration requirements of the Securities Act as may be available with respect to any or all of the issuances and sales of Common Shares by the Company to the Investor to be made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hereto, intending to be legally bound, hereby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Agreement shall have the meanings ascribed to such terms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and hereby made a part hereof, or as otherwise set forth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COMMON SHARES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Purchase and Sale of Shares</w:t>
      </w:r>
      <w:r>
        <w:rPr>
          <w:rFonts w:ascii="Times New Roman" w:cs="Times New Roman" w:eastAsia="Times New Roman" w:hAnsi="Times New Roman"/>
          <w:sz w:val="18"/>
          <w:szCs w:val="18"/>
          <w:color w:val="auto"/>
        </w:rPr>
        <w:t>. Upon the terms and subject to the conditions of this Agreement, during the Investment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its sole discretion, shall have the right, but not the obligation, to issue and sell to the Investor, and the Investor shall purchase from the Company, up to the lesser of (i) the Total Commitment and (ii) the Exchange Cap, to the extent applicable under Section 3.3 (such lesser amount of Common Shares, the “</w:t>
      </w:r>
      <w:r>
        <w:rPr>
          <w:rFonts w:ascii="Times New Roman" w:cs="Times New Roman" w:eastAsia="Times New Roman" w:hAnsi="Times New Roman"/>
          <w:sz w:val="18"/>
          <w:szCs w:val="18"/>
          <w:b w:val="1"/>
          <w:bCs w:val="1"/>
          <w:i w:val="1"/>
          <w:iCs w:val="1"/>
          <w:color w:val="auto"/>
        </w:rPr>
        <w:t>Aggregate Limit</w:t>
      </w:r>
      <w:r>
        <w:rPr>
          <w:rFonts w:ascii="Times New Roman" w:cs="Times New Roman" w:eastAsia="Times New Roman" w:hAnsi="Times New Roman"/>
          <w:sz w:val="18"/>
          <w:szCs w:val="18"/>
          <w:color w:val="auto"/>
        </w:rPr>
        <w:t>”), by the delivery to the Investor of VWAP Purchase Notices as provided in Article III.</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Date; VWAP Purchase Share Delivery Date</w:t>
      </w:r>
      <w:r>
        <w:rPr>
          <w:rFonts w:ascii="Times New Roman" w:cs="Times New Roman" w:eastAsia="Times New Roman" w:hAnsi="Times New Roman"/>
          <w:sz w:val="18"/>
          <w:szCs w:val="18"/>
          <w:color w:val="auto"/>
        </w:rPr>
        <w:t>. This Agreement shall become effective and binding upon (a)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 signature pages of this Agreement executed by each of the parties hereto, and (b) the delivery of all other documents, instruments and writings required to be delivered pursuant to this Agreement, as provided in Section 7.1 at or prior to 9:30 a.m. New York City time on the Closing Date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VWAP Purchase. The delivery of Shares in respect of each VWAP Purchase, and the payment for such Shares, shall occur in accordance with Section 3.2,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the conditions precedent in Article VII shall have been fulfilled at the applicable times set forth in Article VII.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Initial Public Announcements and Required Filings</w:t>
      </w:r>
      <w:r>
        <w:rPr>
          <w:rFonts w:ascii="Times New Roman" w:cs="Times New Roman" w:eastAsia="Times New Roman" w:hAnsi="Times New Roman"/>
          <w:sz w:val="18"/>
          <w:szCs w:val="18"/>
          <w:color w:val="auto"/>
        </w:rPr>
        <w:t>. The Company shall, after the Closing but not later than 5:30 p.m.,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City time, on the Trading Day after the date of this Agreement, file with the Commission a Current Report on Form 8-K disclosing the execution of this Agreement by the Company and the Investor (including any exhibits thereto, the “</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The Company shall provide the Investor and its legal counsel a reasonable opportunity to comment on a draft of the Current Report prior to filing the Current Report with the Commission and shall give due consideration to all such comments. From and after the filing of the Current Report with the Commission, the Company shall publicly disclose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use its reasonable best efforts to prepare and file with the Commission the Initial Registration Statement and any New Registration Statement covering only the resale by the Investor of the Registrable Securities in accordance with the Securities Act and Section 6.3 below. At or before 5:30 p.m. (New York City time) on the second (2nd) Trading Day immediately following the Effective Date of the Initial Registration Statement and any New Registration Statement (or any post-effective amendment thereto), the Company shall use its reasonable best efforts to file with the Commission in accordance with Rule 424(b) under the Securities Act the final Prospectus to be used in connection with sales pursuant to such Registration Statement (or post-effective amendment thereto).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TERMS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satisfaction of the conditions set forth in Article VII, the parties agree as follows:</w:t>
      </w:r>
    </w:p>
    <w:p>
      <w:pPr>
        <w:spacing w:after="0" w:line="2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VWAP Purchases</w:t>
      </w:r>
      <w:r>
        <w:rPr>
          <w:rFonts w:ascii="Times New Roman" w:cs="Times New Roman" w:eastAsia="Times New Roman" w:hAnsi="Times New Roman"/>
          <w:sz w:val="18"/>
          <w:szCs w:val="18"/>
          <w:color w:val="auto"/>
        </w:rPr>
        <w:t>. Upon the initial satisfaction of all of the conditions set forth in Section 7.1 (the “</w:t>
      </w: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and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initial satisfaction of all of such conditions,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and from time to time thereafter during the Investment Period, subject to the satisfaction of all of the conditions set forth in Section 7.2, the Company shall have the right, but not the obligation, to direct the Investor, by its timely delivery to the Investor of a VWAP Purchase Notice, in substantially the form attached hereto as Exhibit A, after 6:00 a.m., New York City time, but prior to 9:30 a.m., New York City time, on a VWAP Purchase Date, to purchase a number of Common Shares equal to the VWAP Purchase Share Request at the applicable VWAP Purchase Price therefor on such VWAP Purchase Date in accordance with this Agreement (each such purchase, a “</w:t>
      </w:r>
      <w:r>
        <w:rPr>
          <w:rFonts w:ascii="Times New Roman" w:cs="Times New Roman" w:eastAsia="Times New Roman" w:hAnsi="Times New Roman"/>
          <w:sz w:val="18"/>
          <w:szCs w:val="18"/>
          <w:b w:val="1"/>
          <w:bCs w:val="1"/>
          <w:color w:val="auto"/>
        </w:rPr>
        <w:t>VWAP Purchase</w:t>
      </w:r>
      <w:r>
        <w:rPr>
          <w:rFonts w:ascii="Times New Roman" w:cs="Times New Roman" w:eastAsia="Times New Roman" w:hAnsi="Times New Roman"/>
          <w:sz w:val="18"/>
          <w:szCs w:val="18"/>
          <w:color w:val="auto"/>
        </w:rPr>
        <w:t>”). In addition, the Investor may, in its sole discretion, accept a VWAP Purchase Notice after 9:30 a.m., New York City time, on a VWAP Purchase Date, provided that such acceptance, once provided, shall be irrevocable and binding and the Company’s obligation to deliver the shares that are the subject of such VWAP Purchase Notice shall be binding; provided that, if the Investor does not accept a VWAP Purchase Notice that is delivered after 9:30 a.m., New York City time, such VWAP Purchase Notice shall be deemed to be null and void. The Investor may also, in its sole discretion, accept additional VWAP Purchase Notices within a Trading Day, in which case any prior VWAP Purchase Notice accepted by the Investor in such Trading Day shall be null, void, superseded and replaced in its entirety by such subsequent VWAP Purchase Notice. The Company may timely deliver a VWAP Purchase Notice to the Investor as often as every Trading Day (and may deliver multiple VWAP Purchase Notices in any given day, it being understood that a subsequent VWAP Purchase Notice will supersede and replace all earlier VWAP Purchase Notices delivered within the same Trading Day in their entirety), so long as all Shares subject to all prior VWAP Purchases theretofore required to have been received by the Investor as DWAC Shares under this Agreement have been delivered to the Investor as DWAC Shares in accordance with this Agreement.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number of Shares that is in excess of the applicable VWAP Purchase Share Amount, such VWAP Purchase Notice shall be void ab initio to the extent of the amount by which the number of shares set forth in such VWAP Purchase Notice exceeds such applicable VWAP Purchase Share Amount, and the Investor shall have no obligation to purchase such excess Shares in respect of such VWAP Purchase Notice; provided, however, that the Investor shall remain obligated to purchase the applicable VWAP Purchase Share Amount in such VWAP Purchase. On the second (2nd) Trading Day following the applicable VWAP Purchase Date (the “VWAP Purchase Share Delivery Date”), the Company shall issue to the Investor a number of DWAC Shares equal to the VWAP Purchase Share Amount for such VWAP Purchase. In addition, it is acknowledged and agreed that the Company may not deliver any additional VWAP Purchase Notice to the Investor until all Shares subject to a VWAP Purchase, and all Shares subject to all prior VWAP Purchase Notices, have been received by the Investor as DWAC Shares in accordance with this Agreement. At or prior to 5:30 p.m., New York City time, on the VWAP Purchase Date for each VWAP Purchase, the Investor shall provide to the Company a written confirmation for such VWAP Purchase (each, a “</w:t>
      </w:r>
      <w:r>
        <w:rPr>
          <w:rFonts w:ascii="Times New Roman" w:cs="Times New Roman" w:eastAsia="Times New Roman" w:hAnsi="Times New Roman"/>
          <w:sz w:val="18"/>
          <w:szCs w:val="18"/>
          <w:b w:val="1"/>
          <w:bCs w:val="1"/>
          <w:color w:val="auto"/>
        </w:rPr>
        <w:t>VWAP Purchase Confirmation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setting forth the applicable VWAP Purchase Price per Share to be paid by the Investor in such VWAP Purchase, and the total aggregate VWAP Purchase Price to be paid by the Investor for the total VWAP Purchase Share Amount purchased by the Investor in such VWAP Purchase. Notwithstanding the foregoing, the Company shall not deliver any VWAP Purchase Notices to the Investor during the Post-Effective Amendment Period.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Payment and Settlement</w:t>
      </w:r>
      <w:r>
        <w:rPr>
          <w:rFonts w:ascii="Times New Roman" w:cs="Times New Roman" w:eastAsia="Times New Roman" w:hAnsi="Times New Roman"/>
          <w:sz w:val="18"/>
          <w:szCs w:val="18"/>
          <w:color w:val="auto"/>
        </w:rPr>
        <w:t>. For each VWAP Purchase, the gross purchase price for the Shares shall be an amount in cash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of (a) the applicable VWAP Purchase Share Amount and (b) the applicable VWAP Purchase Price for such Shares (the “VWAP Purchase Amount”). The Investor shall be entitled to retain from the VWAP Purchase Amount, as a transaction fee in respect of such VWAP Purchase, an amount equal to three percent (3.0%) of the VWAP Purchase Amount (the “Draw Fee”), and shall pay to the Company the remaining ninety-seven percent (97%) of the VWAP Purchase Amount (the “Net Settlement Amount”) as full payment for such Shares purchased by the Investor in such VWAP Purchase, via wire transfer of immediately available funds, not later than 5:00 p.m., New York City time, on the Trading Day immediately following the applicable VWAP Purchase Share Delivery Date for such VWAP Purchase, provided the Investor shall have timely received, as DWAC Shares, all of such Shares purchased by the Investor in such VWAP Purchase on such VWAP Purchase Share Delivery Date in accordance with the first sentence of this Section 3.2. If the Investor fails to pay the Net Settlement Amount when due, the Investor will return the DWAC Shares to the Company. If the Company or the Transfer Agent shall fail for any reason to deliver to the Investor, as DWAC Shares, any Shares purchased by the Investor in a VWAP Purchase prior to 4:30 p.m., New York City time, on the Trading Day immediately following the applicable VWAP Purchase Share Delivery Date for such VWAP Purchase, and if after such Trading Day the Investor purchases (in an open market transaction or otherwise) Common Shares to deliver in satisfaction of a sale by the Investor of such Shares that the Investor anticipated receiving from the Company on such VWAP Purchase Share Delivery Date in respect of such VWAP Purchase, then the Company shall, within one (1) Trading Day after the Investor’s request, either (i) pay cash to the Investor in an amount equal to the Investor’s total purchase price (including brokerage commissions, if any) for the Common Shares so purchased (the “</w:t>
      </w:r>
      <w:r>
        <w:rPr>
          <w:rFonts w:ascii="Times New Roman" w:cs="Times New Roman" w:eastAsia="Times New Roman" w:hAnsi="Times New Roman"/>
          <w:sz w:val="18"/>
          <w:szCs w:val="18"/>
          <w:b w:val="1"/>
          <w:bCs w:val="1"/>
          <w:color w:val="auto"/>
        </w:rPr>
        <w:t>Cover Price</w:t>
      </w:r>
      <w:r>
        <w:rPr>
          <w:rFonts w:ascii="Times New Roman" w:cs="Times New Roman" w:eastAsia="Times New Roman" w:hAnsi="Times New Roman"/>
          <w:sz w:val="18"/>
          <w:szCs w:val="18"/>
          <w:color w:val="auto"/>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Net Settlement Amount; provided, that Investor agrees to use its commercially reasonable efforts to purchase Common Shares in respect of the Cover Price only in normal brokerage transactions at the prevailing price per Common Share then available. The Company shall not issue any fraction of a share of Common Shares to the Investor in connection with any VWAP Purchase effected pursuant to this Agreement. If the issuance would result in the issuance of a Common Share, the Company shall round such fraction of a share of Common Shares up to the nearest whole share. All payments to be made by the Investor pursuant to this Agreement shall be made by wire transfer of immediately available funds in United States dollars to such account as the Company may from time to time designate by written notice to the Investor in accordance with the provisions of this Agreement. The Investor acknowledges and agrees that it is purchasing the Shares solely as principal for its own account and not as a broker, dealer, agent or fiduciary for any other Person. The parties acknowledge and agree that the Draw Fee represents an adjustment to the net economic terms on which the Investor acquires the Shares as principal (economically equivalent to an additional discount to the purchase price), is retained by the Investor in its capacity as principal, and does not constitute, and shall not be deemed to constitute, a commission, brokerage fee, underwriting fee or other transaction-based compensation for effecting or inducing any securities transaction for the account of any other Person. Nothing in this Agreement, including the retention of the Draw Fee, requires the Investor to register as a broker or dealer under Section 15(a) of the Exchange Act, and the Investor shall remain a “trader” as described in Section 5.38.</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Compliance with Rules of Principal Market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9" w:lineRule="auto"/>
        <w:tabs>
          <w:tab w:leader="none" w:pos="1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Cap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issue or sell any Common Shares pursuant to this Agreement, and the Investor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acquire any Common Shares pursuant to this Agreement, to the extent that after giving effect thereto, the aggregate number of Common Shares that would be issued pursuant to this Agreement and the transactions contemplated hereby would exceed such number of Common Shares representing</w:t>
      </w:r>
    </w:p>
    <w:p>
      <w:pPr>
        <w:jc w:val="both"/>
        <w:spacing w:after="0" w:line="238" w:lineRule="auto"/>
        <w:rPr>
          <w:sz w:val="20"/>
          <w:szCs w:val="20"/>
          <w:color w:val="auto"/>
        </w:rPr>
      </w:pPr>
      <w:r>
        <w:rPr>
          <w:rFonts w:ascii="Times New Roman" w:cs="Times New Roman" w:eastAsia="Times New Roman" w:hAnsi="Times New Roman"/>
          <w:sz w:val="18"/>
          <w:szCs w:val="18"/>
          <w:color w:val="auto"/>
        </w:rPr>
        <w:t>19.99% of the voting power of the Common Shares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issued and outstanding immediately prior to the execution of this Agreement, which number of shares shall be reduced, on a share-for-share basis, by the number of Common Shares issued or issuable pursuant to any transaction or series of transactions that may be aggregated with the transactions contemplated by this Agreement under applicable rules of the Principal Market (such maximum number of shares,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unless the Company’s shareholders have approved (i) the issuance of Common Shares pursuant to this Agreement in excess of the Exchange Cap in accordance with the applicable rules of the Principal Market, and (ii) if applicable, any amendment to the Company’s certificate of incorporation, as amended, to increase the number of authorized Common Shares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 which would result in the Company having a sufficient number of authorized and unreserved Common Shares to satisfy its obligation to reserve for issuance under Section 5.5 below (collectively, the “</w:t>
      </w:r>
      <w:r>
        <w:rPr>
          <w:rFonts w:ascii="Times New Roman" w:cs="Times New Roman" w:eastAsia="Times New Roman" w:hAnsi="Times New Roman"/>
          <w:sz w:val="18"/>
          <w:szCs w:val="18"/>
          <w:b w:val="1"/>
          <w:bCs w:val="1"/>
          <w:i w:val="1"/>
          <w:iCs w:val="1"/>
          <w:color w:val="auto"/>
        </w:rPr>
        <w:t>Shareholder Approval</w:t>
      </w:r>
      <w:r>
        <w:rPr>
          <w:rFonts w:ascii="Times New Roman" w:cs="Times New Roman" w:eastAsia="Times New Roman" w:hAnsi="Times New Roman"/>
          <w:sz w:val="18"/>
          <w:szCs w:val="18"/>
          <w:color w:val="auto"/>
        </w:rPr>
        <w:t>”), and such Shareholder Approval has taken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1304"/>
        <w:spacing w:after="0" w:line="257" w:lineRule="auto"/>
        <w:tabs>
          <w:tab w:leader="none" w:pos="1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Shareholder Approval and Information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use its reasonable best efforts to seek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as soon as practicable after the Closing Date, but no later than forty-five (45) days after the Closing Date, and if Shareholder Approval is not obtained during such period, to continue using reasonable best efforts seeking Shareholder Approval every forty-five (45) days thereafter until Shareholder Approval is obtained. Once Shareholder Approval is obtained, Company will file a Preliminary Information Statement on Schedule 14C within thirty (30) days of receiving Shareholder Approval and file a Definitive Information Statement on Schedule 14C ten (10) days following the filing of the Preliminary Information Statement on Schedule 14C.</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15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issue or sell any Common Shares pursuant to this Agreement if such issuance or sale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result in (A) a violation of the Securities Act or (B) a breach of the rules of the Principal Market.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Notwithstanding anything to the contrary contained in this Agreement, the Investor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purchase or acquire, and shall not purchase or acquire, any Common Shares under this Agreement which, when aggregated with all other Common Shares then beneficially owned by the Investor and its affiliates (as calculated pursuant to Section 13(d) of the Exchange Act and Rule 13d-3 promulgated thereunder), would result in the beneficial ownership by the Investor and its affiliates (on an aggregated basis) of more than 9.99% of the outstanding voting power or number of Common Shares (the “</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Upon the written request of the Investor, the Company shall promptly (but not later than the next business day on which the Transfer Agent is open for business) confirm orally or in writing to the Investor the number of Common Shares then outstanding. The Investor and the Company shall each cooperate in good faith in the determinations required under this Section 3.4 and the application of this Section 3.4.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THE INVESTOR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hereby makes the following representations, warranties and covenants to the Company:</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Standing of the Investor</w:t>
      </w:r>
      <w:r>
        <w:rPr>
          <w:rFonts w:ascii="Times New Roman" w:cs="Times New Roman" w:eastAsia="Times New Roman" w:hAnsi="Times New Roman"/>
          <w:sz w:val="18"/>
          <w:szCs w:val="18"/>
          <w:color w:val="auto"/>
        </w:rPr>
        <w:t>. The Investor is a company limited by shares duly incorporated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Hong Kong.</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Authorization and Power</w:t>
      </w:r>
      <w:r>
        <w:rPr>
          <w:rFonts w:ascii="Times New Roman" w:cs="Times New Roman" w:eastAsia="Times New Roman" w:hAnsi="Times New Roman"/>
          <w:sz w:val="18"/>
          <w:szCs w:val="18"/>
          <w:color w:val="auto"/>
        </w:rPr>
        <w:t>. The Investor has the requisite corporate power and authority to enter into and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to purchase or acquire the Shares in accordance with the terms hereof. The execution, delivery and performance by the Investor of this Agreement and the consummation by it of the transactions contemplated hereby have been duly authorized by all necessary action, and no further consent or authorization of the Investor or its members is required. This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consummation by the Investor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transactions contemplated hereby do not and shall not (i) result in a violation of such Investor’s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The Investor is not required under any applicable federal, state or local law, rule or regulation to obtain any consent, authorization or order of, or make any filing or registration with, any court or governmental agency in order for it to execute, deliver or perform any of its obligations under this Agreement or to purchase or acquire the Shares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Investment Purpose</w:t>
      </w:r>
      <w:r>
        <w:rPr>
          <w:rFonts w:ascii="Times New Roman" w:cs="Times New Roman" w:eastAsia="Times New Roman" w:hAnsi="Times New Roman"/>
          <w:sz w:val="18"/>
          <w:szCs w:val="18"/>
          <w:color w:val="auto"/>
        </w:rPr>
        <w:t>. The Investor is acquiring the Shares for its own account, for investment purposes and not with a view towards,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for resale in connection with, the public sale or distribution thereof, in violation of the Securities Act or any applicable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Accredited Investor Status</w:t>
      </w:r>
      <w:r>
        <w:rPr>
          <w:rFonts w:ascii="Times New Roman" w:cs="Times New Roman" w:eastAsia="Times New Roman" w:hAnsi="Times New Roman"/>
          <w:sz w:val="18"/>
          <w:szCs w:val="18"/>
          <w:color w:val="auto"/>
        </w:rPr>
        <w:t>. The Investor is an “</w:t>
      </w:r>
      <w:r>
        <w:rPr>
          <w:rFonts w:ascii="Times New Roman" w:cs="Times New Roman" w:eastAsia="Times New Roman" w:hAnsi="Times New Roman"/>
          <w:sz w:val="18"/>
          <w:szCs w:val="18"/>
          <w:b w:val="1"/>
          <w:bCs w:val="1"/>
          <w:i w:val="1"/>
          <w:iCs w:val="1"/>
          <w:color w:val="auto"/>
        </w:rPr>
        <w:t>accredited investor</w:t>
      </w:r>
      <w:r>
        <w:rPr>
          <w:rFonts w:ascii="Times New Roman" w:cs="Times New Roman" w:eastAsia="Times New Roman" w:hAnsi="Times New Roman"/>
          <w:sz w:val="18"/>
          <w:szCs w:val="18"/>
          <w:color w:val="auto"/>
        </w:rPr>
        <w:t>” as that term is defined in Rule 501(a) of Regulation 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Reliance on Exemptions</w:t>
      </w:r>
      <w:r>
        <w:rPr>
          <w:rFonts w:ascii="Times New Roman" w:cs="Times New Roman" w:eastAsia="Times New Roman" w:hAnsi="Times New Roman"/>
          <w:sz w:val="18"/>
          <w:szCs w:val="18"/>
          <w:color w:val="auto"/>
        </w:rPr>
        <w:t>. The Investor understands that the Shares are being offered and sold to it in reliance on specific exemptions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materials relating to the business, financial condition, management and operations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Affiliates, and materials relating to the offer and sale of the Shares which have been requested by the Investor have been furnished or otherwise made available (including through filing with or furnishing to the Commission) to the Investor or its advisors, including, without limitation, the Commission Documents and other documents filed with or furnished to the Commission by Affiliates of the Company. The Investor understands that its investment in the Shares involves a high degree of risk. The Investor is able to bear the economic risk of an investment in the Shares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its Affiliates,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transactions contemplated by this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The Investor is not purchasing or acquiring the Shares as a result of any form of general solicitation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advertising (within the meaning of Regulation D) in connection with the offer or sale of the Shares.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Not an Affiliate</w:t>
      </w:r>
      <w:r>
        <w:rPr>
          <w:rFonts w:ascii="Times New Roman" w:cs="Times New Roman" w:eastAsia="Times New Roman" w:hAnsi="Times New Roman"/>
          <w:sz w:val="18"/>
          <w:szCs w:val="18"/>
          <w:color w:val="auto"/>
        </w:rPr>
        <w:t>. The Investor is not an officer, director or an Affiliate of the Company. During the Investment Period,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not acquire for its own account any Common Shares or securities exercisable for or convertible into Common Shares, other than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shall prohibit or be deemed to prohibit the Investor from purchasing, in an open market transaction or otherwise, Common Shares necessary to make delivery by the Investor in satisfaction of a sale by the Investor of Shares that the Investor anticipated receiving from the Company in connection with the settlement of a VWAP Purchase if the Company or its transfer agent shall have failed for any reason (other than a failure of Investor or its Broker-Dealer (as defined below) to set up a DWAC and required instructions) to electronically transfer all of the Shares subject to such VWAP Purchase to the Investor on the applicable VWAP Purchase Share Delivery Date by crediting the Investor’s or its designated Broker-Dealer’s account at DTC through its DWAC delivery system in compliance with Section 3.2 of this Agreement. For the avoidance of doubt, the foregoing restriction does not apply to any affiliate of the Investor, provided that any such purchases do not cause the Investor to violate any applicable Exchange Act requirement, including Regulation M.</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No Prior Short Sales</w:t>
      </w:r>
      <w:r>
        <w:rPr>
          <w:rFonts w:ascii="Times New Roman" w:cs="Times New Roman" w:eastAsia="Times New Roman" w:hAnsi="Times New Roman"/>
          <w:sz w:val="18"/>
          <w:szCs w:val="18"/>
          <w:color w:val="auto"/>
        </w:rPr>
        <w:t>. At no time prior to the date of this Agreement has the Investor, its members, any of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entity managed or controlled by the Investor or its members, engaged in or effected, in any manner whatsoever, directly or indirectly, for its own principal account, any (i) “</w:t>
      </w:r>
      <w:r>
        <w:rPr>
          <w:rFonts w:ascii="Times New Roman" w:cs="Times New Roman" w:eastAsia="Times New Roman" w:hAnsi="Times New Roman"/>
          <w:sz w:val="18"/>
          <w:szCs w:val="18"/>
          <w:b w:val="1"/>
          <w:bCs w:val="1"/>
          <w:i w:val="1"/>
          <w:iCs w:val="1"/>
          <w:color w:val="auto"/>
        </w:rPr>
        <w:t>short sale</w:t>
      </w:r>
      <w:r>
        <w:rPr>
          <w:rFonts w:ascii="Times New Roman" w:cs="Times New Roman" w:eastAsia="Times New Roman" w:hAnsi="Times New Roman"/>
          <w:sz w:val="18"/>
          <w:szCs w:val="18"/>
          <w:color w:val="auto"/>
        </w:rPr>
        <w:t>” (as such term is defined in Rule 200 of Regulation SHO of the Exchange Act) of the Common Shares or (ii) hedging transaction, which establishes a net short position with respect to the Common Shares that remains in effect as of the date of this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Statutory Underwriter Status</w:t>
      </w:r>
      <w:r>
        <w:rPr>
          <w:rFonts w:ascii="Times New Roman" w:cs="Times New Roman" w:eastAsia="Times New Roman" w:hAnsi="Times New Roman"/>
          <w:sz w:val="18"/>
          <w:szCs w:val="18"/>
          <w:color w:val="auto"/>
        </w:rPr>
        <w:t>. The Investor acknowledges that it will be disclosed as an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b w:val="1"/>
          <w:bCs w:val="1"/>
          <w:i w:val="1"/>
          <w:iCs w:val="1"/>
          <w:color w:val="auto"/>
        </w:rPr>
        <w:t>selling shareholder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Registration Statement and in any Prospectus contained therein to the extent required by applicable law and to the extent the Prospectus is related to the resale of Registrable Securities.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Resales of Shares</w:t>
      </w:r>
      <w:r>
        <w:rPr>
          <w:rFonts w:ascii="Times New Roman" w:cs="Times New Roman" w:eastAsia="Times New Roman" w:hAnsi="Times New Roman"/>
          <w:sz w:val="18"/>
          <w:szCs w:val="18"/>
          <w:color w:val="auto"/>
        </w:rPr>
        <w:t>. The Investor represents, warrants and covenants that it will resell such Shares only pursuant to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in which the resale of such Shares is registered under the Securities Act, in a manner described under the caption “Plan of Distribution” in such Registration Statement, and in a manner in compliance with all applicable U.S. federal and state securities laws, rules and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makes the following representations, warranties and covenants to the Investor:</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Organization, Good Standing and Power</w:t>
      </w:r>
      <w:r>
        <w:rPr>
          <w:rFonts w:ascii="Times New Roman" w:cs="Times New Roman" w:eastAsia="Times New Roman" w:hAnsi="Times New Roman"/>
          <w:sz w:val="18"/>
          <w:szCs w:val="18"/>
          <w:color w:val="auto"/>
        </w:rPr>
        <w:t>. The Company and each of its Subsidiaries are duly organized, validly existing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standing (to the extent such concept is available)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Commission Documents,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shareholders’ equity or results of operations of the Company and its Subsidiaries taken as a whole, or prevent or materially interfere with consummation of the transactions contemplated hereby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subsidiaries described in the Company’s most recent Annual Report on Form 10-K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are the Company’s only significant subsidiaries (as such term is defined in Rule 1-02 of Regulation S-X promulgated by the Commission). Except as set forth in the Commission Documents, the Company owns, directly or indirectly, all of its equity interests in the Subsidiaries free and clear of any lien, charge, security interest, encumbrance or other restriction, and all its equity interests in the Subsidiaries are validly issued and are fully paid, nonassessable.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each of the Transaction Documents to which it is a party and to issue the Shares in accordance with the terms hereof and thereof. Except for approvals of the Company’s Board of Directors or a committee thereof and the Shareholder Approval as may be required in connection with any issuance and sale of Shares to the Investor hereunder (which approvals shall be obtained prior to the delivery of any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shareholders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 capitalization as set forth in the Commission Documents (as applicable) as of the dates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 the Commission Documents, this Agreement, there are no (i) agreements or arrangements under which the Company is obligated to register the sale of any securities under the Securities Act or (ii) Common Shares that are entitled to preemptive rights.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or any of the other Transaction Documents or the consummation of the transactions described herein or therein. The Company has filed with the Commission true and correct copies of the Company’s certificate of incorporation, as amended, as in effect on the Closing Date, and the Company’s by-laws as in effect on the Closing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color w:val="auto"/>
        </w:rPr>
        <w:t>. The Shares, if and when issued and sold against payment therefor in accordance with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Shares. At or prior to Commencement, the Company shall have duly authorized and reserved 55,000,000 (fifty-five million) Common Shares (such share amount, the “</w:t>
      </w:r>
      <w:r>
        <w:rPr>
          <w:rFonts w:ascii="Times New Roman" w:cs="Times New Roman" w:eastAsia="Times New Roman" w:hAnsi="Times New Roman"/>
          <w:sz w:val="18"/>
          <w:szCs w:val="18"/>
          <w:b w:val="1"/>
          <w:bCs w:val="1"/>
          <w:i w:val="1"/>
          <w:iCs w:val="1"/>
          <w:color w:val="auto"/>
        </w:rPr>
        <w:t>Share Cap</w:t>
      </w:r>
      <w:r>
        <w:rPr>
          <w:rFonts w:ascii="Times New Roman" w:cs="Times New Roman" w:eastAsia="Times New Roman" w:hAnsi="Times New Roman"/>
          <w:sz w:val="18"/>
          <w:szCs w:val="18"/>
          <w:color w:val="auto"/>
        </w:rPr>
        <w:t>”) for issuance and sale as Shares to the Investor pursuant to VWAP Purchases that may be effected by the Company, in its sole discretion, from time to time from and after the Commencement Date, pursuant to this Agreement.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Company of each of the Transaction Documents to which it is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consummation by the Company of the transactions contemplated hereby and thereby do not and shall not (i) result in a violation of any provision of the Company’s certificate of incorporation, as amended, or by-laws, (ii) conflict with or constitute a material default (or an event which, with notice or lapse of time or both, would become a material default) under, or give rise to any rights of termination, amendment, acceleration or cancellation of, any material agreement, mortgage, deed of trust, indenture, note, bond, license, instrument or obligation to which the Company or any of its Subsidiaries is a party or is bound, (iii) result in a violation of any federal, state, local or other foreign statute, rule, regulation, order, judgment or decree applicable to the Company or any of its Subsidiaries (including federal and state securities laws and regulations and the rules and regulations of the Principal Market or applicable Principal Market), except, in the case of clauses (ii) and (iii), for such conflicts, defaults, terminations, amendments, acceleration, cancellations, liens, charges, encumbrances and violations as would not, individually or in the aggregate, reasonably be expected to result in a Material Adverse Effect or that have been waived. Except as specifically contemplated by this Agreement and as required under the Securities Act, any applicable state securities laws and applicable rules of the Principal Market, the Company is not required under any federal, state or local rule or regulation to obtain any consent, authorization or order of, or make any filing or registration with, any court or governmental agency in order for it to execute, deliver or perform any of its obligations under the Transaction Documents to which it is a party, or to issue the Shares to the Investor in accordance with the terms hereof and thereof (other than such consents, authorizations, orders, filings or registrations as have been obtained or made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Commission Documents, Financial Statements; Disclosure Controls and Procedures; Internal Controls Over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Reporting; Accountants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304"/>
        <w:spacing w:after="0" w:line="251" w:lineRule="auto"/>
        <w:tabs>
          <w:tab w:leader="none" w:pos="15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2024, the Company has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except as follows: the Company (then operating under the name Qualigen Therapeutics, Inc.) filed a Form 12b-25 Notification of Late Filing on April 1, 2025 with respect to its Annual Report on Form 10-K for the fiscal year ended December 31, 2024 (the “</w:t>
      </w:r>
      <w:r>
        <w:rPr>
          <w:rFonts w:ascii="Times New Roman" w:cs="Times New Roman" w:eastAsia="Times New Roman" w:hAnsi="Times New Roman"/>
          <w:sz w:val="18"/>
          <w:szCs w:val="18"/>
          <w:b w:val="1"/>
          <w:bCs w:val="1"/>
          <w:i w:val="1"/>
          <w:iCs w:val="1"/>
          <w:color w:val="auto"/>
        </w:rPr>
        <w:t>2024 Form 10-K</w:t>
      </w:r>
      <w:r>
        <w:rPr>
          <w:rFonts w:ascii="Times New Roman" w:cs="Times New Roman" w:eastAsia="Times New Roman" w:hAnsi="Times New Roman"/>
          <w:sz w:val="18"/>
          <w:szCs w:val="18"/>
          <w:color w:val="auto"/>
        </w:rPr>
        <w:t>”), which was delayed to allow the Company sufficient time to complete its customary accounting and internal control processes and procedures. In connection with such late filing, on April 24, 2025, the Company received a notice from Nasdaq notifying the Company that it was not in compliance with Nasdaq Listing Rule 5250(c), which requires listed companies to timely file all required periodic reports with the Commission. As previously disclosed, pursuant to a Nasdaq Hearings Panel decision dated December 2, 2024, the Company is subject to a Discretionary Panel Monitor through December 2, 2025 pursuant to Nasdaq Listing Rule 5815(d)(4)(A) (the “</w:t>
      </w:r>
      <w:r>
        <w:rPr>
          <w:rFonts w:ascii="Times New Roman" w:cs="Times New Roman" w:eastAsia="Times New Roman" w:hAnsi="Times New Roman"/>
          <w:sz w:val="18"/>
          <w:szCs w:val="18"/>
          <w:b w:val="1"/>
          <w:bCs w:val="1"/>
          <w:i w:val="1"/>
          <w:iCs w:val="1"/>
          <w:color w:val="auto"/>
        </w:rPr>
        <w:t>Panel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Monitor</w:t>
      </w:r>
      <w:r>
        <w:rPr>
          <w:rFonts w:ascii="Times New Roman" w:cs="Times New Roman" w:eastAsia="Times New Roman" w:hAnsi="Times New Roman"/>
          <w:sz w:val="18"/>
          <w:szCs w:val="18"/>
          <w:color w:val="auto"/>
        </w:rPr>
        <w:t>”), which requires Nasdaq staff to issue a Delist Determination Letter in the event the Company fails to maintain compliance during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monitoring period. The Company timely appealed the Nasdaq delisting determination and has subsequently filed the 2024 Form 10-K and regained compliance with Nasdaq Listing Rule 5250(c). Notwithstanding the foregoing, as of the date hereof, the Company has not yet filed the Part III information required to be included in, or incorporated by reference into, the 2025 Form 10-K (or an amendment thereto on Form 10-K/A), which information remains outstanding. As of its filing date, each Commission Document filed with or furnished to the Commission prior to the Closing Date complied in all material respects with the requirements of the Securities Act or the Exchange Act, as applicable. Each Registration Statement, on the date it is filed with the Commission, on the date it is declared effective by the Commission and on each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after the Closing Date, when taken together, on its date and on each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Nothing has come to the attention of the Company that has caused the Company to believe that the statistical, demographic and market-related data included in the Registration Statement and Prospectus are not based on or derived from sources that are reliable and accurate in all material respects. The Commission has not issued any stop order or other order suspending the effectiveness of any registration statement filed by the Company under the Securities Act or the Exchange Act.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1304"/>
        <w:spacing w:after="0" w:line="252" w:lineRule="auto"/>
        <w:tabs>
          <w:tab w:leader="none" w:pos="1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shareholders’ equity of the Company and its then consolidated subsidiaries for the periods specified and have been prepared in all material respects in compliance with the published requirements of the Securities Act and the Exchange Act, as applicable, and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The pro forma condensed combined financial statements and the pro forma combined financial statements and any other pro forma financial statements or data included or incorporated by reference in the Commission Documents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the Subsidiaries contained or incorporated by reference in the Commission Documents, if any, are accurately and fairly presented and prepared on a basis consistent with the financial statements and books and records of the Company. There are no financial statements (historical or pro forma) that are required to be included or incorporated by reference in the Commission Documents that are not included or incorporated by reference as required. The Company and the Subsidiaries do not have any material liabilities or obligations, direct or contingent (including any off-balance sheet obligations or any “</w:t>
      </w:r>
      <w:r>
        <w:rPr>
          <w:rFonts w:ascii="Times New Roman" w:cs="Times New Roman" w:eastAsia="Times New Roman" w:hAnsi="Times New Roman"/>
          <w:sz w:val="18"/>
          <w:szCs w:val="18"/>
          <w:b w:val="1"/>
          <w:bCs w:val="1"/>
          <w:i w:val="1"/>
          <w:iCs w:val="1"/>
          <w:color w:val="auto"/>
        </w:rPr>
        <w:t>variable interest entities</w:t>
      </w:r>
      <w:r>
        <w:rPr>
          <w:rFonts w:ascii="Times New Roman" w:cs="Times New Roman" w:eastAsia="Times New Roman" w:hAnsi="Times New Roman"/>
          <w:sz w:val="18"/>
          <w:szCs w:val="18"/>
          <w:color w:val="auto"/>
        </w:rPr>
        <w:t>” as that term is used in Accounting Standards Codification Paragraph 810-10-25-20), not described in Commission Documents which are required to be described in the Commission Documents. All disclosures contained or incorporated by reference in the Commission Documents, if any, regarding “</w:t>
      </w:r>
      <w:r>
        <w:rPr>
          <w:rFonts w:ascii="Times New Roman" w:cs="Times New Roman" w:eastAsia="Times New Roman" w:hAnsi="Times New Roman"/>
          <w:sz w:val="18"/>
          <w:szCs w:val="18"/>
          <w:b w:val="1"/>
          <w:bCs w:val="1"/>
          <w:i w:val="1"/>
          <w:iCs w:val="1"/>
          <w:color w:val="auto"/>
        </w:rPr>
        <w:t>non-GAAP financial measures</w:t>
      </w:r>
      <w:r>
        <w:rPr>
          <w:rFonts w:ascii="Times New Roman" w:cs="Times New Roman" w:eastAsia="Times New Roman" w:hAnsi="Times New Roman"/>
          <w:sz w:val="18"/>
          <w:szCs w:val="18"/>
          <w:color w:val="auto"/>
        </w:rPr>
        <w:t>”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in the Commission Documents fairly presents the information called for in all material respects and has been prepared in accordance with the Commission’s rules and guidelines applicable thereto.</w:t>
      </w:r>
    </w:p>
    <w:p>
      <w:pPr>
        <w:spacing w:after="0" w:line="18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WithumSmith+Brown, PC and Baker Tilly US, LLP (collectively,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reports on the consolidated financial statements of the Company as of and for the year ended December 31, 2024 and 2023, respectively, included in the Company’s Annual Report on Form 10-K for the fiscal year ended December 31, 2024, is and, during the periods covered by their respective reports, was an independent public accounting firm within the meaning of the Securities Act and the Public Company Accounting Oversight Board (United States). To the Company’s knowledge, each of the Accountants is not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with respect to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1304"/>
        <w:spacing w:after="0" w:line="252"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w:t>
      </w:r>
      <w:r>
        <w:rPr>
          <w:rFonts w:ascii="Times New Roman" w:cs="Times New Roman" w:eastAsia="Times New Roman" w:hAnsi="Times New Roman"/>
          <w:sz w:val="18"/>
          <w:szCs w:val="18"/>
          <w:b w:val="1"/>
          <w:bCs w:val="1"/>
          <w:i w:val="1"/>
          <w:iCs w:val="1"/>
          <w:color w:val="auto"/>
        </w:rPr>
        <w:t>principal executive officer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principal financial officer</w:t>
      </w:r>
      <w:r>
        <w:rPr>
          <w:rFonts w:ascii="Times New Roman" w:cs="Times New Roman" w:eastAsia="Times New Roman" w:hAnsi="Times New Roman"/>
          <w:sz w:val="18"/>
          <w:szCs w:val="18"/>
          <w:color w:val="auto"/>
        </w:rPr>
        <w:t>” shall have the meanings given to such terms in the Sarbanes-Oxley Act. The Company and the Subsidiaries maintain and keep accurate books and records reflecting their assets and maintain internal accounting controls in a manner designed to provide reasonable assurance regarding the reliability of the Company’s financial reporting and the preparation of financial statements by the Company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color w:val="auto"/>
        </w:rPr>
        <w:t>. Subsequent to the respective dates as of which information is given in the Commission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document deemed incorporated by reference therein), there has not been any Material Adverse Effect or the occurrence of any development that the Company reasonably expects will result in a Material Adverse Effect.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No Material Defaults</w:t>
      </w:r>
      <w:r>
        <w:rPr>
          <w:rFonts w:ascii="Times New Roman" w:cs="Times New Roman" w:eastAsia="Times New Roman" w:hAnsi="Times New Roman"/>
          <w:sz w:val="18"/>
          <w:szCs w:val="18"/>
          <w:color w:val="auto"/>
        </w:rPr>
        <w:t>. Neither the Company nor any of its Subsidiaries has defaulted on any installment on indebtedness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borrowed money or on any rental on one or more long-term leases, which defaults, individually or in the aggregate, would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No Preferential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 the Commission Documents, (i) no Person, has the right, contractual or otherwise,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the Company to issue or sell to such Person any Common Shares or shares of any other capital stock or other securities of the Company, (ii) no Person has any preemptive rights, resale rights, rights of first refusal, rights of co-sale, or any other rights (whether pursuant to a “poison pill” provision or otherwise) to purchase any Common Shares or shares of any other capital stock or other securities of the Company, (iii) no Person has the right to act as an underwriter or as a financial advisor to the Company in connection with the offer and sale of the Common Shares, and (iv) no Person has the right, contractual or otherwise, to require the Company to register under the Securities Act any Common Shares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The Company has not taken any steps, and does not currently expect to take any steps, to seek protection pursuant to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of the 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United States federal or state bankruptcy law or any law for the relief of debtors. The Company is financially solvent and is generally able to pay its debts as they become due.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Real Property;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2" w:lineRule="auto"/>
        <w:tabs>
          <w:tab w:leader="none" w:pos="15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Commission Documents, the Company and its Subsidiaries have good and marketable title in fee simple to all items of real property owned by them, good and valid title to all personal property described in the Commission Documents as being owned by them, in each case free and clear of all liens, encumbrances and claims, except those matters that (i) do not materially interfere with the use made and proposed to be made of such property by the Company and any of its Subsidiaries or (ii) would not reasonably be expected, individually or in the aggregate, to have a Material Adverse Effect. Any real or personal property described in the Commission Documents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Commission Documents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firstLine="1304"/>
        <w:spacing w:after="0" w:line="252" w:lineRule="auto"/>
        <w:tabs>
          <w:tab w:leader="none" w:pos="15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Commission Documents, the Company and its Subsidiaries own, possess, license or have other rights to use, or can acquire the right to use on reasonable terms,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necessary for the conduct of their respective businesses as now conducted except to the extent that the failure to own, possess, license or otherwise hold or acquire adequate rights to use such Intellectual Property would not reasonably be expected, individually or in the aggregate, to have a Material Adverse Effect. Except as disclosed in the Commission Documents and except as would not be reasonably expected individually or in the aggregate, to have a Material Adverse Effect: (i) to the Company’s knowledge, there is no infringement by third parties of any Intellectual Property owned by the Company or its Subsidiaries; (ii) there is no pending or, to the Company’s knowledge, threatened action, suit, proceeding or claim by others challenging the Company’s and its Subsidiaries’ rights in or to any Intellectual Property owned by the Company or its Subsidiaries, and the Company is unaware of any facts which could form a reasonable basis for any such action, suit, proceeding or claim; (iii) there is no pending or, to the Company’s knowledge, threatened action, suit, proceeding or claim by others challenging the validity or scope of any such Intellectual Property owned by the Company or its Subsidiaries; (iv) there is no pending or, to the Company’s knowledge, threatened action, suit, proceeding or claim by others that the Company and its Subsidiaries infringe or otherwise violate any Intellectual Property rights of others; and (v) the Company and its Subsidiaries have taken reasonable efforts in accordance with standard industry practice to maintain the confidentiality of all trade secrets and other confidential information of the Company and its Subsidiaries.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Actions Pending</w:t>
      </w:r>
      <w:r>
        <w:rPr>
          <w:rFonts w:ascii="Times New Roman" w:cs="Times New Roman" w:eastAsia="Times New Roman" w:hAnsi="Times New Roman"/>
          <w:sz w:val="18"/>
          <w:szCs w:val="18"/>
          <w:color w:val="auto"/>
        </w:rPr>
        <w:t>. Except as set forth in the Commission Documents, there are no actions, suits or proceedings by or before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pending, nor, to the Company’s knowledge, any audits or investigations by or before any Governmental Authority to which the Company or a Subsidiary is a party or to which any property of the Company or any of its Subsidiaries is the subject that, as would be reasonably expected, individually or in the aggregate, would have a Material Adverse Effect and, to the Company’s knowledge, no such actions, suits, proceedings, audits or investigations are threatened or contemplated by any Governmental Authority or threatened by others; and except as would not be reasonably expected, individually or in the aggregate, to have a Material Adverse Effect, there are no current or pending audits or investigations, actions, suits or proceedings by or before any Governmental Authority that are required under the Securities Act to be described in the Commission Documents that are not so described.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 Except as set forth in the Commission Documents, each of the Company and its Subsidiaries: (A) is and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(B) has not received any notice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 except in the case of each of (A) through (G) above, as would not reasonably be expected, individually or in the aggregate, to have a Material Adverse Effect.</w:t>
      </w:r>
    </w:p>
    <w:p>
      <w:pPr>
        <w:spacing w:after="0" w:line="19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Neither the Company nor any of its Subsidiaries has incurred any liability for any finder’s fees,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commissions or similar payments in connection with the transactions herein contemplated, other than the Upfront Fee and the Draw Fee payable to or retained by the Investor pursuant to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the Investor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advisors or counsel with any information that constitutes or would 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Shares under the Registration Statement.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Broker/Dealer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the Subsidiaries (i) is required to register as a “broker” or “dealer”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maintains a system of “disclosure controls and procedures” (as defined in Rule 13a-15(e)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as disclosed in the Commission Documents, the Company and its Subsidiaries have made all filings,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the United States Drug Enforcement Administration, the European Medical Agency (“</w:t>
      </w:r>
      <w:r>
        <w:rPr>
          <w:rFonts w:ascii="Times New Roman" w:cs="Times New Roman" w:eastAsia="Times New Roman" w:hAnsi="Times New Roman"/>
          <w:sz w:val="18"/>
          <w:szCs w:val="18"/>
          <w:b w:val="1"/>
          <w:bCs w:val="1"/>
          <w:i w:val="1"/>
          <w:iCs w:val="1"/>
          <w:color w:val="auto"/>
        </w:rPr>
        <w:t>EMA</w:t>
      </w:r>
      <w:r>
        <w:rPr>
          <w:rFonts w:ascii="Times New Roman" w:cs="Times New Roman" w:eastAsia="Times New Roman" w:hAnsi="Times New Roman"/>
          <w:sz w:val="18"/>
          <w:szCs w:val="18"/>
          <w:color w:val="auto"/>
        </w:rPr>
        <w:t>”),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Commission Documents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for such Permits the failure of which to possess, obtain or make the same would not reasonably be expected, individually or in the aggregate, to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individually or in the aggregate, if the subject of an unfavorable decision, ruling or finding, would have a Material Adverse Effect, or has any reason to believe that any such license, certificate, permit or authorization will not be renewed in the ordinary course.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set forth in the Commission Documents, the Company and its Subsidiaries (i)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and all applicable federal, state, local and foreign laws, rules, regulations, decisions and orders relating to the protection of human health and safety to the extent relating to hazardous or toxic substances or wastes, pollutants or contaminants (“</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the environment or the presence, release, generation, use, management, handling, transportation, treatment, storage, or disposal of Hazardous Materials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for the investigation or remediation of any disposal or release of Hazardous Materials, except, in the case of any of clauses (i), (ii) or (iii) above, for any such failure to comply, failure to receive required permits, licenses, other approvals or liability as would not, individually or in the aggregate, reasonably be expected to have a Material Adverse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No Improper Practices</w:t>
      </w:r>
      <w:r>
        <w:rPr>
          <w:rFonts w:ascii="Times New Roman" w:cs="Times New Roman" w:eastAsia="Times New Roman" w:hAnsi="Times New Roman"/>
          <w:sz w:val="18"/>
          <w:szCs w:val="18"/>
          <w:color w:val="auto"/>
        </w:rPr>
        <w:t>. (i) Neither the Company nor the Subsidiaries, nor any director, officer, or employee of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Commission Documents; (ii) except as described in the Commission Documents, there are no material outstanding loans or advances or material guarantees of indebtedness by the Company or any Subsidiary to or for the benefit of any of their respective officers or directors or any of the members of the families of any of them; and (iii)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operations of the Company and its Subsidiaries are and have been conducted for the past five (5) years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b w:val="1"/>
          <w:bCs w:val="1"/>
          <w:i w:val="1"/>
          <w:i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Laundering Laws</w:t>
      </w:r>
      <w:r>
        <w:rPr>
          <w:rFonts w:ascii="Times New Roman" w:cs="Times New Roman" w:eastAsia="Times New Roman" w:hAnsi="Times New Roman"/>
          <w:sz w:val="18"/>
          <w:szCs w:val="18"/>
          <w:color w:val="auto"/>
        </w:rPr>
        <w:t>”); and no action, suit or proceeding by or before any Governmental Authority involving the Company or any of its Subsidiaries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the Money Laundering Laws is pending or, to the knowledge of the Company, threatened.</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No relationship, direct or indirect, exists between or among the Company or any of its Subsidiaries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one hand, and the directors, officers, trustees, managers, stockholders, partners, customers or suppliers of the Company or any of the Subsidiaries on the other hand, which would be required by the Securities Act or the Exchange Act to be disclosed in the Commission Documents, which is not so disclosed.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Labor Disputes</w:t>
      </w:r>
      <w:r>
        <w:rPr>
          <w:rFonts w:ascii="Times New Roman" w:cs="Times New Roman" w:eastAsia="Times New Roman" w:hAnsi="Times New Roman"/>
          <w:sz w:val="18"/>
          <w:szCs w:val="18"/>
          <w:color w:val="auto"/>
        </w:rPr>
        <w:t>. The Company is not bound by or subject to any collective bargaining or similar agreement with any labor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knowledge of the Company, none of the employees, representatives or agents of the Company is represented by any labor union. The Company and its Subsidiaries have complied with all employment laws applicable 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result in a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Investor shall be used by the Company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will be set forth in the Prospectus included in any Registration Statement (and any post-effective amendment thereto) and any Prospectus Supplement thereto filed pursuant to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Investment Company Act Status</w:t>
      </w:r>
      <w:r>
        <w:rPr>
          <w:rFonts w:ascii="Times New Roman" w:cs="Times New Roman" w:eastAsia="Times New Roman" w:hAnsi="Times New Roman"/>
          <w:sz w:val="18"/>
          <w:szCs w:val="18"/>
          <w:color w:val="auto"/>
        </w:rPr>
        <w:t>. The Company is not, and as a result of the consummation of the transactions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 application of the proceeds from the sale of the Shares as will be set forth in the Prospectus included in any Registration Statement (and any post-effective amendment thereto) and any Prospectus Supplement thereto filed pursuant to this Agreement the Company will not be an “investment company” within the meaning of the Investment Company Act of 1940, as amended.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5.27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which have been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filed and paid all taxes shown thereon through the date hereof, to the extent that such taxes have become due and are not being contested in good faith, except where the failure to so file or pay would not reasonably be expected, individually or in the aggregate, to have a Material Adverse Effect. Except as otherwise disclosed in or contemplated by the Commission Documents,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5.28 </w:t>
      </w:r>
      <w:r>
        <w:rPr>
          <w:rFonts w:ascii="Times New Roman" w:cs="Times New Roman" w:eastAsia="Times New Roman" w:hAnsi="Times New Roman"/>
          <w:sz w:val="18"/>
          <w:szCs w:val="18"/>
          <w:b w:val="1"/>
          <w:bCs w:val="1"/>
          <w:u w:val="single" w:color="auto"/>
          <w:color w:val="auto"/>
        </w:rPr>
        <w:t>Employee Benefits</w:t>
      </w:r>
      <w:r>
        <w:rPr>
          <w:rFonts w:ascii="Times New Roman" w:cs="Times New Roman" w:eastAsia="Times New Roman" w:hAnsi="Times New Roman"/>
          <w:sz w:val="18"/>
          <w:szCs w:val="18"/>
          <w:color w:val="auto"/>
        </w:rPr>
        <w:t>. To the knowledge of the Company, each material employee benefit plan that is maintained, administered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to by the Company or any of its Subsidiaries for employees or former employees of the Company and any of its Subsidiaries has been maintained in material compliance with its terms and the requirements of any applicable statutes, orders, rules and regulations, no prohibited transaction has occurred which would result in a Material Adverse Effect with respect to any such plan excluding transactions effected pursuant to a statutory or administrative exemption; and for each such, except as would not reasonably be expected to have a Material Adverse Effect, the minimum funding standards applicable thereto have been satisfied and the fair market value of the assets of each such plan (excluding for these purposes accrued but unpaid contributions) exceeds the present value of all benefits accrued under such plan determined using reasonable actuarial assumptions.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5.29 </w:t>
      </w:r>
      <w:r>
        <w:rPr>
          <w:rFonts w:ascii="Times New Roman" w:cs="Times New Roman" w:eastAsia="Times New Roman" w:hAnsi="Times New Roman"/>
          <w:sz w:val="18"/>
          <w:szCs w:val="18"/>
          <w:b w:val="1"/>
          <w:bCs w:val="1"/>
          <w:u w:val="single" w:color="auto"/>
          <w:color w:val="auto"/>
        </w:rPr>
        <w:t>Stock Transfer Taxes</w:t>
      </w:r>
      <w:r>
        <w:rPr>
          <w:rFonts w:ascii="Times New Roman" w:cs="Times New Roman" w:eastAsia="Times New Roman" w:hAnsi="Times New Roman"/>
          <w:sz w:val="18"/>
          <w:szCs w:val="18"/>
          <w:color w:val="auto"/>
        </w:rPr>
        <w:t>. All stock transfer taxes which are required to be paid in connection with the sale and transfer of the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sold hereunder will be, or will have been, fully paid or provided for by the Company and all laws imposing such taxes will be or will have been fully complied with provided the sale and transfer is effected within the facilities of DTC.</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5.30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each of its Subsidiaries reasonably believe are adequate for the conduct of their properties and as is customary for companies engaged in similar businesses in similar industries.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5.31 </w:t>
      </w:r>
      <w:r>
        <w:rPr>
          <w:rFonts w:ascii="Times New Roman" w:cs="Times New Roman" w:eastAsia="Times New Roman" w:hAnsi="Times New Roman"/>
          <w:sz w:val="18"/>
          <w:szCs w:val="18"/>
          <w:b w:val="1"/>
          <w:bCs w:val="1"/>
          <w:u w:val="single" w:color="auto"/>
          <w:color w:val="auto"/>
        </w:rPr>
        <w:t>Exemption from Registration</w:t>
      </w:r>
      <w:r>
        <w:rPr>
          <w:rFonts w:ascii="Times New Roman" w:cs="Times New Roman" w:eastAsia="Times New Roman" w:hAnsi="Times New Roman"/>
          <w:sz w:val="18"/>
          <w:szCs w:val="18"/>
          <w:color w:val="auto"/>
        </w:rPr>
        <w:t>. Subject to, and in reliance on, the representations, warranties and covenants made herein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the offer and sale of the Shares in accordance with the terms and conditions of this Agreement is exempt from the registration requirements of the Securities Act pursuant to Section 4(a)(2) and/or Rule 506(b) of Regulation 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5.32 </w:t>
      </w:r>
      <w:r>
        <w:rPr>
          <w:rFonts w:ascii="Times New Roman" w:cs="Times New Roman" w:eastAsia="Times New Roman" w:hAnsi="Times New Roman"/>
          <w:sz w:val="18"/>
          <w:szCs w:val="18"/>
          <w:b w:val="1"/>
          <w:bCs w:val="1"/>
          <w:u w:val="single" w:color="auto"/>
          <w:color w:val="auto"/>
        </w:rPr>
        <w:t>No General Solicitation or Advertising</w:t>
      </w:r>
      <w:r>
        <w:rPr>
          <w:rFonts w:ascii="Times New Roman" w:cs="Times New Roman" w:eastAsia="Times New Roman" w:hAnsi="Times New Roman"/>
          <w:sz w:val="18"/>
          <w:szCs w:val="18"/>
          <w:color w:val="auto"/>
        </w:rPr>
        <w:t>. Neither the Company, nor any of its Subsidiaries or Affiliates, nor any Person acting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their behalf, has engaged in any form of general solicitation or general advertising (within the meaning of Regulation D) in connection with the offer or sale of the Shares.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5.33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made any offers or sales of any security or solicited any offers to buy any security, under circumstances that would require registration of the issuance of any of the Shares under the Securities Act, whether through integration with prior offerings or otherwise, or cause this offering of the Shares to require approval of shareholders of the Company under any applicable shareholder approval provisions, including, without limitation, under the rules and regulations of the Principal Market. None of the Company, its Subsidiaries, their Affiliates nor any Person acting on their behalf will take any action or steps referred to in the preceding sentence that would require registration of the issuance of any of the Shares under the Securities Act or cause the offering of any of the Shares to be integrated with other offerings.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5.34 </w:t>
      </w:r>
      <w:r>
        <w:rPr>
          <w:rFonts w:ascii="Times New Roman" w:cs="Times New Roman" w:eastAsia="Times New Roman" w:hAnsi="Times New Roman"/>
          <w:sz w:val="18"/>
          <w:szCs w:val="18"/>
          <w:b w:val="1"/>
          <w:bCs w:val="1"/>
          <w:u w:val="single" w:color="auto"/>
          <w:color w:val="auto"/>
        </w:rPr>
        <w:t>Manipulation of Price</w:t>
      </w:r>
      <w:r>
        <w:rPr>
          <w:rFonts w:ascii="Times New Roman" w:cs="Times New Roman" w:eastAsia="Times New Roman" w:hAnsi="Times New Roman"/>
          <w:sz w:val="18"/>
          <w:szCs w:val="18"/>
          <w:color w:val="auto"/>
        </w:rPr>
        <w:t>. Neither the Company nor any of its officers, directors or, to the knowledge of the Company,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and, to the knowledge of the 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Neither the Company nor any of its officers, directors or, to the knowledge of the Company, its Affiliates will during the term of this Agreement, and, to the knowledge of the Company, no Person acting on their behalf will during the term of this Agreement, take any of the actions referred to in the immediately preceding sentence.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5.35 </w:t>
      </w:r>
      <w:r>
        <w:rPr>
          <w:rFonts w:ascii="Times New Roman" w:cs="Times New Roman" w:eastAsia="Times New Roman" w:hAnsi="Times New Roman"/>
          <w:sz w:val="18"/>
          <w:szCs w:val="18"/>
          <w:b w:val="1"/>
          <w:bCs w:val="1"/>
          <w:u w:val="single" w:color="auto"/>
          <w:color w:val="auto"/>
        </w:rPr>
        <w:t>Listing and Maintenance Requirements; DTC Eligibility</w:t>
      </w:r>
      <w:r>
        <w:rPr>
          <w:rFonts w:ascii="Times New Roman" w:cs="Times New Roman" w:eastAsia="Times New Roman" w:hAnsi="Times New Roman"/>
          <w:sz w:val="18"/>
          <w:szCs w:val="18"/>
          <w:color w:val="auto"/>
        </w:rPr>
        <w:t>. The Common Shares are registered pursuant to Section 12(b)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previously disclosed in the Commission Documents, the Company has not received notice from the Principal Market to the effect that the Company is not in compliance with the listing or maintenance requirements of the Principal Market. The Shares are, or will be after the Commencement Date, eligible for participation in the DTC book entry system and deposit at DTC such that they may be transferred electronically to third parties via DTC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delivery system. The Company has not received notice from DTC to the effect that a suspension of, or restriction on, accepting additional deposits of the Shares, electronic trading or book-entry services by DTC with respect to the Shares is being imposed or is contemplated.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5.36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Neither the Company nor any of its Subsidiaries (collectively, the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nor any director, officer of the Company nor,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of the Company, any employee, agent, affiliate or representative of the Company or any director or officer of any Subsidiary, is a Person that is, or is owned or controlled by a Person that is (i) the subject of any sanctions administered or enforced by the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that broadly prohibit dealings with that country or territory (including, without limitation, the Crimea region of the Ukraine, Cuba, Iran, North Korea, Sudan and Syria (the “</w:t>
      </w:r>
      <w:r>
        <w:rPr>
          <w:rFonts w:ascii="Times New Roman" w:cs="Times New Roman" w:eastAsia="Times New Roman" w:hAnsi="Times New Roman"/>
          <w:sz w:val="18"/>
          <w:szCs w:val="18"/>
          <w:b w:val="1"/>
          <w:bCs w:val="1"/>
          <w:i w:val="1"/>
          <w:iCs w:val="1"/>
          <w:color w:val="auto"/>
        </w:rPr>
        <w:t>Sanctioned Countries</w:t>
      </w:r>
      <w:r>
        <w:rPr>
          <w:rFonts w:ascii="Times New Roman" w:cs="Times New Roman" w:eastAsia="Times New Roman" w:hAnsi="Times New Roman"/>
          <w:sz w:val="18"/>
          <w:szCs w:val="18"/>
          <w:color w:val="auto"/>
        </w:rPr>
        <w:t>”)). The Entity will not, directly or indirectly, use the proceeds from the sale of Shares,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this agreement, whether as underwriter, advisor, investor or otherwise). For the past five years, the Entity has not engaged in, and is now not engaged in, any dealings or transactions with any Person, or in any country or territory, that at the time of the dealing or transaction is or was the subject of Sanctions or was a Sanctioned Country.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5.37 </w:t>
      </w:r>
      <w:r>
        <w:rPr>
          <w:rFonts w:ascii="Times New Roman" w:cs="Times New Roman" w:eastAsia="Times New Roman" w:hAnsi="Times New Roman"/>
          <w:sz w:val="18"/>
          <w:szCs w:val="18"/>
          <w:b w:val="1"/>
          <w:bCs w:val="1"/>
          <w:u w:val="single" w:color="auto"/>
          <w:color w:val="auto"/>
        </w:rPr>
        <w:t>Information Technology; Compliance with Data Privacy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2" w:lineRule="auto"/>
        <w:tabs>
          <w:tab w:leader="none" w:pos="15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Commission Documents, and except as would not reasonably be expected, individually or in the aggregate, to have a Material Adverse Effect: (i)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as currently conducted, and, to the Company’s knowledge, are free and clear of all bugs, errors, Trojan horses, time bomb, and malware (ii) the Company and its Subsidiaries have implemented and maintained commercially reasonable physical, technical and administrative controls, policies, procedures, and safeguards designed to maintain and protect their confidential information and the integrity, continuous operation, redundancy and security of their IT Systems and data, including all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(defined below) and all sensitive, confidential or regulated data (“</w:t>
      </w:r>
      <w:r>
        <w:rPr>
          <w:rFonts w:ascii="Times New Roman" w:cs="Times New Roman" w:eastAsia="Times New Roman" w:hAnsi="Times New Roman"/>
          <w:sz w:val="18"/>
          <w:szCs w:val="18"/>
          <w:b w:val="1"/>
          <w:bCs w:val="1"/>
          <w:i w:val="1"/>
          <w:iCs w:val="1"/>
          <w:color w:val="auto"/>
        </w:rPr>
        <w:t>Confidential Data</w:t>
      </w:r>
      <w:r>
        <w:rPr>
          <w:rFonts w:ascii="Times New Roman" w:cs="Times New Roman" w:eastAsia="Times New Roman" w:hAnsi="Times New Roman"/>
          <w:sz w:val="18"/>
          <w:szCs w:val="18"/>
          <w:color w:val="auto"/>
        </w:rPr>
        <w:t>”) used in connection with their businesses.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(EU 2016/679);</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(E) any “</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as defined by the California Consumer Privacy Act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and (F) any other piece of information that allows the identification of such natural person, or his or her family, or permits the collection or analysis of any data related to an identified person’s health or sexual orientation. Except as described in the Commission Documents, and except as would not reasonably be expected, individually or in the aggregate, to have a Material Adverse Effect: (x) to the knowledge of the Company, there have been no breaches, violations, outages or unauthorized uses of or accesses to their IT Systems or Personal Data maintained or processed by the Company, except for those that have been remedied without material cost or liability or the duty to notify any other person, nor any incidents under internal review or investigations relating to the same and (y) the Company and its Subsidiaries are presently in compliance with all applicable laws or statutes and all judgments, orders, rules and regulations of any court or arbitrator or governmental or regulatory authority, external policies and contractual obligations relating to the privacy and security of their IT Systems, Confidential Data, and Personal Data (collectively, “</w:t>
      </w:r>
      <w:r>
        <w:rPr>
          <w:rFonts w:ascii="Times New Roman" w:cs="Times New Roman" w:eastAsia="Times New Roman" w:hAnsi="Times New Roman"/>
          <w:sz w:val="18"/>
          <w:szCs w:val="18"/>
          <w:b w:val="1"/>
          <w:bCs w:val="1"/>
          <w:i w:val="1"/>
          <w:i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and to the protection of such IT Systems, Confidential Data, and Personal Data from unauthorized use, access, misappropriation or modification.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1304"/>
        <w:spacing w:after="0" w:line="254" w:lineRule="auto"/>
        <w:tabs>
          <w:tab w:leader="none" w:pos="15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Commission Documents, and except as would not reasonably be expected, individually or in the aggregate, to have a Material Adverse Effect: (i) to the extent required by applicable Privacy Laws, the Company has in place commercially reasonable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(ii) the Company has made disclosures to users or customers to the extent required by applicable Privacy Laws, and none of such disclosures made or contained in any Policy have been inaccurate or in violation of any applicable Privacy Laws; (iii) neither the Company nor any Subsidiary has received written notice of any actual or potential liability under or relating to, or actual or potential violation of, any applicable Privacy Laws, and there is no action, suit or proceeding by or before any court or governmental agency, authority or body pending or, to the Company’s knowledge, threatened alleging non-compliance with any applicable Privacy Laws.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5.38 </w:t>
      </w:r>
      <w:r>
        <w:rPr>
          <w:rFonts w:ascii="Times New Roman" w:cs="Times New Roman" w:eastAsia="Times New Roman" w:hAnsi="Times New Roman"/>
          <w:sz w:val="18"/>
          <w:szCs w:val="18"/>
          <w:u w:val="single" w:color="auto"/>
          <w:color w:val="auto"/>
        </w:rPr>
        <w:t>Acknowledgement Regarding Investor’s Acquisition of Shares</w:t>
      </w:r>
      <w:r>
        <w:rPr>
          <w:rFonts w:ascii="Times New Roman" w:cs="Times New Roman" w:eastAsia="Times New Roman" w:hAnsi="Times New Roman"/>
          <w:sz w:val="18"/>
          <w:szCs w:val="18"/>
          <w:color w:val="auto"/>
        </w:rPr>
        <w:t>. The Company acknowledges that while the Investor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 statutory “underwriter” with respect to the Transaction in accordance with interpretive positions of the Commission, the Investor is a “trader” that is not required to register with the SEC as a broker-dealer under Section 15(a) of the Securities Exchange Act of 1934. The Company further acknowledges that the Investor and its representatives are not acting as a financial advisor or fiduciary of the Company (or in any similar capacity, except as noted above) with respect to this Agreement and the transactions contemplated by the Transaction Documents, and any advice given by the Investor or any of its representatives or agents in connection therewith is merely incidental to the Investor’s acquisition of the Shares.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the Transaction Documents other than those specifically set forth in Article IV. The retention by the Investor of the Draw Fee in respect of each VWAP Purchase does not, and shall not be deemed to, cause the Investor to be a broker or dealer required to register under Section 15(a) of the Exchange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Securities Compliance</w:t>
      </w:r>
      <w:r>
        <w:rPr>
          <w:rFonts w:ascii="Times New Roman" w:cs="Times New Roman" w:eastAsia="Times New Roman" w:hAnsi="Times New Roman"/>
          <w:sz w:val="18"/>
          <w:szCs w:val="18"/>
          <w:color w:val="auto"/>
        </w:rPr>
        <w:t>. The Company shall notify the Commission and the Principal Market, if and as applicable,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Reservation of Common Shares</w:t>
      </w:r>
      <w:r>
        <w:rPr>
          <w:rFonts w:ascii="Times New Roman" w:cs="Times New Roman" w:eastAsia="Times New Roman" w:hAnsi="Times New Roman"/>
          <w:sz w:val="18"/>
          <w:szCs w:val="18"/>
          <w:color w:val="auto"/>
        </w:rPr>
        <w:t>. Once the Company has obtained Shareholder Approval and it has taken effect, and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of the Charter Amendment, the Company will reserve and keep available at all times, free of preemptive and other similar rights of shareholders, the requisite aggregate number of authorized but unissued Common Shares to enable the Company to timely effect the issuance, sale and delivery of all Shares to be issued, sold and delivered in respect of each VWAP Purchase effected under this Agreement, at least prior to the delivery by the Company to the Investor of the applicable VWAP Purchase Notice in connection with such VWAP Purchase. Without limiting the generality of the foregoing, as of the date of the effectiveness of the Charter Amendment, the Company shall have reserved, out of its authorized and unissued Common Shares, a number of Common Shares equal to the Share Cap solely for the purpose of effecting VWAP Purchases under this Agreement. The number of Common Shares so reserved for the purpose of effecting VWAP Purchases under this Agreement may be increased from time to time by the Company from and after the date of the effectiveness of the Charter Amendment, and such number of reserved shares may be reduced from and after such date only by the number of Shares actually issued, sold and delivered to the Investor pursuant to any VWAP Purchase effected from and after the date of the effectiveness of the Charter Amendment pursuant to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Registration and Listing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2"/>
        <w:spacing w:after="0" w:line="254" w:lineRule="auto"/>
        <w:tabs>
          <w:tab w:leader="none" w:pos="21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Shareholder Approval, the Company shall prepare and, as soon as practicable, and in any case no more than 45 days after the date of this Agreement, file with the Commission an initial Registration Statement on Form S-1 (or any successor form) so as to permit the resale of the Registrable Securities held by the Investor under Rule 415 under the Securities Act at then prevailing market prices (and not fixed prices) (the “</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The Company shall use its commercially reasonable efforts to have the Initial Registration Statement declared effective by the Commission within ninety (90) days of its filing with the Commission in the event that the initial Registration Statement is not subject to a full review by the Commission. In the event that the Initial Registration Statement is subject to a full review by the Commission, the ninety (90)-day period shall be extended by an additional forty-five (45) days for each round of comments from the Commission or until resolution of all Commission comments, whichever is later.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left="-460" w:firstLine="1292"/>
        <w:spacing w:after="0" w:line="266"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the right to select one legal counsel to review and oversee, solely on its behalf, any registration pursuant to this Section 6.3 (“</w:t>
      </w:r>
      <w:r>
        <w:rPr>
          <w:rFonts w:ascii="Times New Roman" w:cs="Times New Roman" w:eastAsia="Times New Roman" w:hAnsi="Times New Roman"/>
          <w:sz w:val="18"/>
          <w:szCs w:val="18"/>
          <w:b w:val="1"/>
          <w:bCs w:val="1"/>
          <w:i w:val="1"/>
          <w:iCs w:val="1"/>
          <w:color w:val="auto"/>
        </w:rPr>
        <w:t>Legal Counsel</w:t>
      </w:r>
      <w:r>
        <w:rPr>
          <w:rFonts w:ascii="Times New Roman" w:cs="Times New Roman" w:eastAsia="Times New Roman" w:hAnsi="Times New Roman"/>
          <w:sz w:val="18"/>
          <w:szCs w:val="18"/>
          <w:color w:val="auto"/>
        </w:rPr>
        <w:t>”). The Company shall have no obligation to reimburse the Investor for any and all legal fees and expenses of the Legal Counsel incurred in connection with the transactions contemplated by this Section 6.3.</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1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all Registrable Securities are not covered by the Initial Registration Statement filed pursuant to this Section 6.3 or otherwise, the Company shall use its commercially reasonable efforts to file with the Commission one or more additional Registration Statements so as to cover all of the Registrable Securities not covered by such initial Registration Statement, in each case, as soon as practicable (taking into account any position of the staff of the Commission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with respect to the date on which the Staff will permit such additional Registration Statement(s) to be filed with the Commission and the rules and regulations of the Commission) (each such additional Registration Statement, a “</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The Company shall use its commercially reasonable efforts to cause each such New Registration Statement to become effective as soon as reasonably practicable following the filing thereof with the Commission.</w:t>
      </w:r>
    </w:p>
    <w:p>
      <w:pPr>
        <w:spacing w:after="0" w:line="188" w:lineRule="exact"/>
        <w:rPr>
          <w:rFonts w:ascii="Times New Roman" w:cs="Times New Roman" w:eastAsia="Times New Roman" w:hAnsi="Times New Roman"/>
          <w:sz w:val="18"/>
          <w:szCs w:val="18"/>
          <w:color w:val="auto"/>
        </w:rPr>
      </w:pPr>
    </w:p>
    <w:p>
      <w:pPr>
        <w:ind w:left="-460" w:firstLine="1292"/>
        <w:spacing w:after="0" w:line="282" w:lineRule="auto"/>
        <w:tabs>
          <w:tab w:leader="none" w:pos="11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include any securities other than Registrable Securities on any Registration Statement pursuant to this Section 6.3 without the express written consent of the Investor prior to filing such Registration Statement with the Commission.</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this Section 6.3,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forty-eight (48) hours) request the withdrawal of such Registration Statement pursuant to Rule 477 under the Securities Act. In the event of any reduction in Registrable Securities pursuant to this paragraph, the Company shall use its commercially reasonable efforts to file one or more New Registration Statements with the Commission in accordance with this Section 6.3 until such time as all Registrable Securities have been included in Registration Statements that have been declared effective and the Prospectuses contained therein are available for use by the Investor.</w:t>
      </w:r>
    </w:p>
    <w:p>
      <w:pPr>
        <w:spacing w:after="0" w:line="1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ind w:left="-460" w:firstLine="1292"/>
        <w:spacing w:after="0" w:line="266" w:lineRule="auto"/>
        <w:tabs>
          <w:tab w:leader="none" w:pos="11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effect the registration of the Registrable Securities in accordance with the terms of this Agreement and the intended method of disposition thereof, and, pursuant thereto, during the term of this Agreement, the Company shall have the following obligations:</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52" w:lineRule="auto"/>
        <w:tabs>
          <w:tab w:leader="none" w:pos="17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Allowable Grace Periods (as defined below),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this Agreement if as of such termination date the Investor holds no Registrable Securities (or, if applicable, the date on which such securities cease to be Registrable Securities after the date of termination of this Agreement) (the “</w:t>
      </w:r>
      <w:r>
        <w:rPr>
          <w:rFonts w:ascii="Times New Roman" w:cs="Times New Roman" w:eastAsia="Times New Roman" w:hAnsi="Times New Roman"/>
          <w:sz w:val="18"/>
          <w:szCs w:val="18"/>
          <w:b w:val="1"/>
          <w:bCs w:val="1"/>
          <w:i w:val="1"/>
          <w:iCs w:val="1"/>
          <w:color w:val="auto"/>
        </w:rPr>
        <w:t>Registration Period</w:t>
      </w:r>
      <w:r>
        <w:rPr>
          <w:rFonts w:ascii="Times New Roman" w:cs="Times New Roman" w:eastAsia="Times New Roman" w:hAnsi="Times New Roman"/>
          <w:sz w:val="18"/>
          <w:szCs w:val="18"/>
          <w:color w:val="auto"/>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and in any case no later than two (2) Trading Days, after the Company learns of such fact in accordance with Rule 461 under the Securities Act.</w:t>
      </w:r>
    </w:p>
    <w:p>
      <w:pPr>
        <w:spacing w:after="0" w:line="1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8" w:name="page29"/>
    <w:bookmarkEnd w:id="28"/>
    <w:p>
      <w:pPr>
        <w:jc w:val="both"/>
        <w:ind w:left="180" w:firstLine="1300"/>
        <w:spacing w:after="0" w:line="251" w:lineRule="auto"/>
        <w:tabs>
          <w:tab w:leader="none" w:pos="17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5:30 p.m. (New York City time) on the second (2nd)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VWAP Purchase are material to the Company (individually or collectively with all other prior VWAP Purchases, the consummation of which have not previously been reported in any Prospectus Supplement filed with the Commission under Rule 424(b) under the Securities Act or in any report, statement or other document filed by the Company with the Commission under the Exchange Act), or if otherwise required under the Securities Act (or the interpretations of the Commission thereof), in each case as reasonably determined by the Company and the Investor, then, at or before 8:30 a.m., New York City time, on the first (1st) Trading Day immediately following the VWAP Purchase Date, if a VWAP Purchase Notice was properly delivered to the Investor hereunder in connection with such VWAP Purchase, the Company shall file with the Commission a Prospectus Supplement pursuant to Rule 424(b) under the Securities Act with respect to the VWAP Purchase(s), the total VWAP Purchase Price for the Shares subject to such VWAP Purchase(s) (as applicable), the applicable VWAP Purchase Price(s) for such Shares and the net proceeds that are to be (and, if applicable, have been)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consummated during the relevant fiscal quarter and shall file such Quarterly Reports and Annual Reports with the Commission within the applicable time period prescribed for such report under the Exchange Act. In the case of amendments and supplements to any Registration Statement on Form S-1 or Prospectus related thereto which are required to be filed pursuant to this Agreement by reason of the Company filing a report on Form 8-K, Form 10-Q or Form 10-K or any analogous report under the Exchange Act, the Company shall have incorporated such report by reference into such Registration Statement and Prospectus, if applicable, or shall file such amendments or supplements to the Registration Statement or Prospectus with the Commission on the same day on which the Exchange Act report is filed which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spacing w:after="0" w:line="1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9" w:name="page30"/>
    <w:bookmarkEnd w:id="29"/>
    <w:p>
      <w:pPr>
        <w:jc w:val="both"/>
        <w:ind w:left="180" w:firstLine="2164"/>
        <w:spacing w:after="0" w:line="252" w:lineRule="auto"/>
        <w:tabs>
          <w:tab w:leader="none" w:pos="260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permit Legal Counsel an opportunity to review and comment upon (i) each Registration Statement at least three (3) Trading Days prior to its filing with the Commission (it being understood that such notice period has been satisfied in respect of the initial Registration Statement)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spacing w:after="0" w:line="194" w:lineRule="exact"/>
        <w:rPr>
          <w:rFonts w:ascii="Times New Roman" w:cs="Times New Roman" w:eastAsia="Times New Roman" w:hAnsi="Times New Roman"/>
          <w:sz w:val="18"/>
          <w:szCs w:val="18"/>
          <w:color w:val="auto"/>
        </w:rPr>
      </w:pPr>
    </w:p>
    <w:p>
      <w:pPr>
        <w:jc w:val="both"/>
        <w:ind w:left="180" w:firstLine="1300"/>
        <w:spacing w:after="0" w:line="252" w:lineRule="auto"/>
        <w:tabs>
          <w:tab w:leader="none" w:pos="17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not be required in connection therewith or as a condition thereto to (x) qualify to do business in any jurisdiction where it would not otherwise be required to qualify but for this Section 6.3(vi)(d), (y) subject itself to general taxation in any such jurisdiction, or</w:t>
      </w:r>
    </w:p>
    <w:p>
      <w:pPr>
        <w:spacing w:after="0" w:line="6"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4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0" w:name="page31"/>
    <w:bookmarkEnd w:id="30"/>
    <w:p>
      <w:pPr>
        <w:jc w:val="both"/>
        <w:ind w:left="180" w:firstLine="1300"/>
        <w:spacing w:after="0" w:line="252" w:lineRule="auto"/>
        <w:tabs>
          <w:tab w:leader="none" w:pos="17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w:t>
      </w:r>
    </w:p>
    <w:p>
      <w:pPr>
        <w:spacing w:after="0" w:line="191"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16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use its reasonable best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1" w:name="page32"/>
    <w:bookmarkEnd w:id="31"/>
    <w:p>
      <w:pPr>
        <w:jc w:val="both"/>
        <w:ind w:left="180" w:firstLine="1300"/>
        <w:spacing w:after="0" w:line="253" w:lineRule="auto"/>
        <w:tabs>
          <w:tab w:leader="none" w:pos="17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94"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7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obligation of the Company under this Agreement, the Company shall use its reasonable best efforts either to (i) cause all of the Registrable Securities covered by each Registration Statement to be listed on the Nasdaq Capital Market, or (ii) secure designation and quotation of all of the Registrable Securities covered by each Registration Statement on another Principal Market. The Company shall pay all fees and expenses in connection with satisfying its obligation under this Section 6(vi)(h).</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53" w:lineRule="auto"/>
        <w:tabs>
          <w:tab w:leader="none" w:pos="1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Investor hereby agrees that it shall cooperate with the Company, its counsel and Transfer Agent in connection with any issuances of DWAC Shares, and hereby represents, warrants and covenants to the Company that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may be transmitted by the transfer agent to the Investor by crediting an account at DTC as directed in writing by the Investor.</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2" w:name="page33"/>
    <w:bookmarkEnd w:id="32"/>
    <w:p>
      <w:pPr>
        <w:jc w:val="both"/>
        <w:ind w:left="180" w:firstLine="1300"/>
        <w:spacing w:after="0" w:line="254" w:lineRule="auto"/>
        <w:tabs>
          <w:tab w:leader="none" w:pos="1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Investor, the Company shall as soon as reasonably practicable after receipt of notice from the Investor,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spacing w:after="0" w:line="191"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17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generally available to its security holders (which may be satisfied by making such information available on EDGAR)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spacing w:after="0" w:line="183" w:lineRule="exact"/>
        <w:rPr>
          <w:rFonts w:ascii="Times New Roman" w:cs="Times New Roman" w:eastAsia="Times New Roman" w:hAnsi="Times New Roman"/>
          <w:sz w:val="18"/>
          <w:szCs w:val="18"/>
          <w:color w:val="auto"/>
        </w:rPr>
      </w:pPr>
    </w:p>
    <w:p>
      <w:pPr>
        <w:ind w:left="180" w:firstLine="1300"/>
        <w:spacing w:after="0" w:line="282" w:lineRule="auto"/>
        <w:tabs>
          <w:tab w:leader="none" w:pos="17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commercially reasonable efforts to comply with all applicable rules and regulations of the Commission in connection with any registration hereunder.</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51" w:lineRule="auto"/>
        <w:tabs>
          <w:tab w:leader="none" w:pos="18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 w:cs="Times New Roman" w:eastAsia="Times New Roman" w:hAnsi="Times New Roman"/>
          <w:sz w:val="18"/>
          <w:szCs w:val="18"/>
          <w:b w:val="1"/>
          <w:bCs w:val="1"/>
          <w:i w:val="1"/>
          <w:iCs w:val="1"/>
          <w:color w:val="auto"/>
        </w:rPr>
        <w:t>Allowable Grace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Investor be suspended from selling Registrable Securities pursuant to any Registration Statement for a period that exceeds sixty (60) consecutive Trading Days or an aggregate of ninety (90) days in any three hundred and sixty-five (365)-day period;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the Company shall not effect any such suspension during the three-Trading Day period following the VWAP Purchase Share Delivery Date for each VWAP Purchase.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with respect to the information giving rise thereto unless such material, non-public information is no longer applicable). The Company shall cause its transfer agent to deliver DWAC Shares to a transferee of the Investor in accordance with the terms of this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jc w:val="both"/>
        <w:ind w:left="-460" w:firstLine="1292"/>
        <w:spacing w:after="0" w:line="261" w:lineRule="auto"/>
        <w:tabs>
          <w:tab w:leader="none" w:pos="11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expenses of the Company, other than sales or brokerage commissions and fees and disbursements of counsel for, and other expenses of, the Investor, incurred in connection with registrations, filings or qualifications, including, without limitation, all registration, listing and qualifications fees, printers and accounting fees, and fees and disbursements of counsel for the Company, shall be paid by the Company.</w:t>
      </w:r>
    </w:p>
    <w:p>
      <w:pPr>
        <w:spacing w:after="0" w:line="179"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to the Investor the benefits of Rule 144, the Company agrees to:</w:t>
      </w:r>
    </w:p>
    <w:p>
      <w:pPr>
        <w:spacing w:after="0" w:line="225" w:lineRule="exact"/>
        <w:rPr>
          <w:rFonts w:ascii="Times New Roman" w:cs="Times New Roman" w:eastAsia="Times New Roman" w:hAnsi="Times New Roman"/>
          <w:sz w:val="18"/>
          <w:szCs w:val="18"/>
          <w:color w:val="auto"/>
        </w:rPr>
      </w:pPr>
    </w:p>
    <w:p>
      <w:pPr>
        <w:ind w:left="1720" w:hanging="240"/>
        <w:spacing w:after="0"/>
        <w:tabs>
          <w:tab w:leader="none" w:pos="17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make and keep current public information available, as such term is used in Rule 144;</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17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73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without unreasonable delay as may be reasonably requested from time to time by the Investor.</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(ix) Neither the Company nor the Investor shall assign this Agreement or any of their respective rights or obligations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w:t>
      </w:r>
    </w:p>
    <w:p>
      <w:pPr>
        <w:spacing w:after="0" w:line="207" w:lineRule="exact"/>
        <w:rPr>
          <w:sz w:val="20"/>
          <w:szCs w:val="20"/>
          <w:color w:val="auto"/>
        </w:rPr>
      </w:pPr>
    </w:p>
    <w:p>
      <w:pPr>
        <w:jc w:val="both"/>
        <w:ind w:firstLine="1292"/>
        <w:spacing w:after="0" w:line="261" w:lineRule="auto"/>
        <w:tabs>
          <w:tab w:leader="none" w:pos="15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79" w:lineRule="exact"/>
        <w:rPr>
          <w:rFonts w:ascii="Times New Roman" w:cs="Times New Roman" w:eastAsia="Times New Roman" w:hAnsi="Times New Roman"/>
          <w:sz w:val="18"/>
          <w:szCs w:val="18"/>
          <w:color w:val="auto"/>
        </w:rPr>
      </w:pPr>
    </w:p>
    <w:p>
      <w:pPr>
        <w:jc w:val="both"/>
        <w:ind w:firstLine="1292"/>
        <w:spacing w:after="0" w:line="261" w:lineRule="auto"/>
        <w:tabs>
          <w:tab w:leader="none" w:pos="1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(2) or more Persons with respect to the same Registrable Securities, the Company shall act upon the basis of instructions, notice or election received from such record owner of such Registrable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2"/>
        <w:spacing w:after="0" w:line="261" w:lineRule="auto"/>
        <w:tabs>
          <w:tab w:leader="none" w:pos="15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Investment Period, the Company shall comply with applicable provisions of the Securities Act and the Exchange Act, including Regulation M thereunder, applicable state securities or “Blue Sky” laws, and applicable listing rules of the Principal Market or Principal Market, in connection with the transactions contemplated by this Agreement, except as would not reasonably be expected, individually or in the aggregate,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comply with all laws, rules, regulations and orders applicable to the performance by it of its obligations under this Agreement and its investment in the Shares, except as would not reasonably be expected, individually or in the aggregate, to have a Material Adverse Effect. Without limiting the foregoing, the Investor shall comply with all applicable provisions of the Securities Act and the Exchange Act, including Regulation M thereunder, and all applicable state securities or “Blue Sky” laws, in connection with the transactions contemplated by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Keeping of Records and Books of Account; Due Diligence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2"/>
        <w:spacing w:after="0" w:line="282" w:lineRule="auto"/>
        <w:tabs>
          <w:tab w:leader="none" w:pos="15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the Company shall each maintain records showing the remaining Total Commitment, the remaining Aggregate Limit and the dates and VWAP Purchase Share Amount for each VWAP Purchase.</w:t>
      </w:r>
    </w:p>
    <w:p>
      <w:pPr>
        <w:spacing w:after="0" w:line="161"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Closing Date, the Investor’s continued due diligence shall not be a condition precedent to the Company’s right to deliver to the Investor any VWAP Purchase Notice or the settlement thereof except to the extent expressly contemplated by this Agreement. For the avoidance of doubt, the Investor and its counsel shall have the right, upon reasonable advance notice and during normal business hours, to conduct such due diligence as the Investor reasonably deems necessary to establish a due diligence defense under Section 11 of the Securities Act, subject to the Investor’s compliance with Section 6.11 and the execution of customary confidentiality undertakings.</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No Frustration; No Variable Rate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2"/>
        <w:spacing w:after="0" w:line="257" w:lineRule="auto"/>
        <w:tabs>
          <w:tab w:leader="none" w:pos="2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Frustration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enter into, announce or recommend to its shareholders any agreement,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 VWAP Purchase not later than the VWAP Purchase Share Delivery Date. For the avoidance of doubt, nothing in this Section 6.6(i) shall in any way limit the Company’s right to terminate this Agreement in accordance with Section 8.2 (subject in all cases to Section 8.3).</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62" w:lineRule="auto"/>
        <w:tabs>
          <w:tab w:leader="none" w:pos="22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 on Variable Rate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effect or enter into an agreement to effect any issuance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of Common Shares or Common Shares Equivalents (or a combination of units thereof) involving a Variable Rate Transaction during any period in which a VWAP Purchase Notice has been delivered and the delivery of such Shares and the payment therefor have not been completed at such time.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color w:val="auto"/>
        </w:rPr>
        <w:t>. If a VWAP Purchase Notice has been delivered to the Investor and the transactions contemplated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not yet been fully settled in accordance with the terms and conditions of this Agreement, the Company shall not effect any Fundamental Transaction until the expiration of five (5) Trading Days following the date of full settlement thereof and the issuance to the Investor of all of the Shares issuable pursuant to the VWAP Purchase to which such VWAP Purchase Notice relates.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Selling Restrictions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2"/>
        <w:spacing w:after="0" w:line="252" w:lineRule="auto"/>
        <w:tabs>
          <w:tab w:leader="none" w:pos="21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below, the Investor covenants that from and after the Closing Date through and including the Trading Day next following the expiration or termination of this Agreement as provided in Article VIII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none of the Investor any of its officers, or any entity managed or controlled by the Investor (collectively, the “</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b w:val="1"/>
          <w:bCs w:val="1"/>
          <w:i w:val="1"/>
          <w:iCs w:val="1"/>
          <w:color w:val="auto"/>
        </w:rPr>
        <w:t>Restricted Person</w:t>
      </w:r>
      <w:r>
        <w:rPr>
          <w:rFonts w:ascii="Times New Roman" w:cs="Times New Roman" w:eastAsia="Times New Roman" w:hAnsi="Times New Roman"/>
          <w:sz w:val="18"/>
          <w:szCs w:val="18"/>
          <w:color w:val="auto"/>
        </w:rPr>
        <w:t>”) shall, directly or indirectly, (i) engage in any Short Sales of the Common Shares or (ii) hedging transaction, which establishes a net short position with respect to the Common Shares, with respect to each of clauses (i) and (ii) hereof,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 (2) selling a number of Common Shares equal to the number of Shares that such Restricted Person is effecting sales for pursuant to a pending VWAP Purchase Notice in accordance with Section 3.2 of this Agreement, so long as (X) such Restricted Person (or the Broker-Dealer, as applicable) delivers the Shares purchased pursuant to such VWAP Purchase Notice to the purchaser thereof or the applicable Broker-Dealer promptly upon such Restricted Person’s receipt of such Shares from the Company in accordance with Section 3.2 of this Agreement and (Y) neither the Company or the Transfer Agent shall have failed for any reason to deliver such Shares to the Investor or its Broker-Dealer so that such Shares are received by the Investor as DWAC Shares on the applicable VWAP Purchase Share Delivery Date in accordance with Section 3.2 of this Agreement, including, without limitation, within the time period specified for receipt of such Shares by the Investor or its Broker-Dealer as DWAC Shares from the Company or the Transfer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left="660" w:firstLine="1292"/>
        <w:spacing w:after="0" w:line="266" w:lineRule="auto"/>
        <w:tabs>
          <w:tab w:leader="none" w:pos="22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in connection with any sale of Shares (including any sale permitted by paragraph (i) above), the Investor shall comply in all respects with all applicable laws, rules, regulations and orders, including, without limitation, the requirements of the Securities Act and the Exchange Act.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Daily Volume Limitation. During any Trading Day, the Investor’s sales of Common Shares shall not constitute more than ten percent (10%) of the trading volume of the Common Shares on the Principal Market for such Trading Day, unless the Company provides its prior written consent, which consent may be granted or withheld in the Company’s sole discretion;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Investor shall not be deemed to have violated this Section 6.8(iii) if such sales do not exceed ten percent (10%) of such trading volume when the last sale on such Trading Day is executed. For purposes of this Section 6.8(iii), “trading volume” means the total number of shares of Common Shares traded on the Principal Market during regular trading hours on such Trading Day, as reported by the Principal Market or a recognized financial data provider.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Effective Registration Statement</w:t>
      </w:r>
      <w:r>
        <w:rPr>
          <w:rFonts w:ascii="Times New Roman" w:cs="Times New Roman" w:eastAsia="Times New Roman" w:hAnsi="Times New Roman"/>
          <w:sz w:val="18"/>
          <w:szCs w:val="18"/>
          <w:color w:val="auto"/>
        </w:rPr>
        <w:t>. During the Investment Period, the Company shall use its reasonable best efforts to maintain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effectiveness of the Initial Registration Statement and each New Registration Statement filed with the Commission under the Securities Act for the applicable Registration Period pursuant to and in accordance with this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Blue Sky</w:t>
      </w:r>
      <w:r>
        <w:rPr>
          <w:rFonts w:ascii="Times New Roman" w:cs="Times New Roman" w:eastAsia="Times New Roman" w:hAnsi="Times New Roman"/>
          <w:sz w:val="18"/>
          <w:szCs w:val="18"/>
          <w:color w:val="auto"/>
        </w:rPr>
        <w:t>. The Company shall take such action, if any, as is necessary by the Company in order to obtain an exemption for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or as a condition thereto to (x) qualify to do business in any jurisdiction where it would not otherwise be required to qualify but for this Section 6.10, (y) subject itself to general taxation in any such jurisdiction, or (z) file a general consent to service of process in any such jurisdiction.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or any of its Subsidiaries, nor any of their respective directors, officers,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agents shall disclose any material non-public information about the Company to the Investor at any time, and the Company shall ensure that any material non-public information is appropriately disclosed to the public or otherwise addressed prior to the delivery of any VWAP Purchase Notice,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and the Investor shall have not concluded within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with the Company’s prior written consent (such consent not to be unreasonably withheld or delayed) in the form of a press release, public advertisement or otherwise, of such material, non-public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making any such public disclosure, the Investor shall consult with the Company and provide the Company opportunity to review and comment on such proposed disclosure. The Investor shall not have any liability to the Company, any of its Subsidiaries, or any of their respective directors, officers, employees, shareholders or agents, for any such disclosure.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b w:val="1"/>
          <w:bCs w:val="1"/>
          <w:u w:val="single" w:color="auto"/>
          <w:color w:val="auto"/>
        </w:rPr>
        <w:t>Broker/Dealer</w:t>
      </w:r>
      <w:r>
        <w:rPr>
          <w:rFonts w:ascii="Times New Roman" w:cs="Times New Roman" w:eastAsia="Times New Roman" w:hAnsi="Times New Roman"/>
          <w:sz w:val="18"/>
          <w:szCs w:val="18"/>
          <w:color w:val="auto"/>
        </w:rPr>
        <w:t>. The Investor shall use one or more broker-dealers to effectuate all sales, if any, of the Shares that it may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acquire from the Company pursuant to the Transaction Documents, as applicable, which (or whom) shall be a DTC participant (collectively, the “</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The Investor shall, from time to time, provide the Company and the Transfer Agent with all information regarding the Broker-Dealer reasonably requested by the Company to effectuate the purposes of this Agreement. The Investor shall be solely responsible for all fees and commissions of the Broker-Dealer (if any), which shall not exceed customary brokerage fees and commissions and shall be responsible for designating only a DTC participant eligible to receive DWAC Shares.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b w:val="1"/>
          <w:bCs w:val="1"/>
          <w:u w:val="single" w:color="auto"/>
          <w:color w:val="auto"/>
        </w:rPr>
        <w:t>Disclosure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2"/>
        <w:spacing w:after="0" w:line="257" w:lineRule="auto"/>
        <w:tabs>
          <w:tab w:leader="none" w:pos="21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update a disclosure schedule (the “</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 as may be required to satisfy the conditions set forth in Section 7.2(i) (to the extent such condition set forth in Section 7.2(i) relates to the condition in Section 7.1(i) as of a specific VWAP Purchase Condition Satisfaction Time). For purposes of this Section 6.13, any disclosure made in a schedule to the Compliance Certificate shall be deemed to be an update of the Disclosure Schedule. Notwithstanding anything in this Agreement to the contrary, no update to the Disclosure Schedule pursuant to this Section 6.13 shall cure any breach of a representation or warranty of the Company contained in this Agreement and made prior to the update and shall not affect any of the Investor’s rights or remedies with respect thereto.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left="660" w:firstLine="1292"/>
        <w:spacing w:after="0" w:line="255" w:lineRule="auto"/>
        <w:tabs>
          <w:tab w:leader="none" w:pos="22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b w:val="1"/>
          <w:bCs w:val="1"/>
          <w:u w:val="single" w:color="auto"/>
          <w:color w:val="auto"/>
        </w:rPr>
        <w:t>Delivery of Bring-Down Opinions and Compliance Certificates Upon Occurrence of Certain Events</w:t>
      </w:r>
      <w:r>
        <w:rPr>
          <w:rFonts w:ascii="Times New Roman" w:cs="Times New Roman" w:eastAsia="Times New Roman" w:hAnsi="Times New Roman"/>
          <w:sz w:val="18"/>
          <w:szCs w:val="18"/>
          <w:color w:val="auto"/>
        </w:rPr>
        <w:t>. Within three (3)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immediately following each time the Company files (i) an annual report on Form 10-K under the Exchange Act (including any Form 10-K/A containing amended financial information or a material amendment to the previously filed Form 10-K); (ii) a quarterly report on Form 10-Q under the Exchange Act; (iii)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or (iv) the Initial Registration Statement, any New Registration Statement, or any supplement or post-effective amendment thereto, and in any case, not more than once per calendar quarter, the Company shall (1) deliver to the Investor a Compliance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dated as of such date, (2) cause to be furnished to the Investor a 10b-5 letter from Company Counsel, in customary form (such letter, a “</w:t>
      </w:r>
      <w:r>
        <w:rPr>
          <w:rFonts w:ascii="Times New Roman" w:cs="Times New Roman" w:eastAsia="Times New Roman" w:hAnsi="Times New Roman"/>
          <w:sz w:val="18"/>
          <w:szCs w:val="18"/>
          <w:b w:val="1"/>
          <w:bCs w:val="1"/>
          <w:i w:val="1"/>
          <w:iCs w:val="1"/>
          <w:color w:val="auto"/>
        </w:rPr>
        <w:t>Bring-Down Opinion</w:t>
      </w:r>
      <w:r>
        <w:rPr>
          <w:rFonts w:ascii="Times New Roman" w:cs="Times New Roman" w:eastAsia="Times New Roman" w:hAnsi="Times New Roman"/>
          <w:sz w:val="18"/>
          <w:szCs w:val="18"/>
          <w:color w:val="auto"/>
        </w:rPr>
        <w:t>”) and (3) cause to be furnished to the Investor a comfort letter from the independent registered public accounting firm of the Company in the case of an Annual Report on Form 10-K (in the case of a post-effective amendment, only if such amendment contains amended or new financial information), modified, as necessary, to relate to such Registration Statement or post-effective amendment, or the Prospectus contained therein as then amended or supplemented by such Prospectus Supplement,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CONDITIONS TO CLOSING AND CONDITIONS TO THE SALE AND PURCHASE OF THE SHARES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Conditions Precedent to Commencement</w:t>
      </w:r>
      <w:r>
        <w:rPr>
          <w:rFonts w:ascii="Times New Roman" w:cs="Times New Roman" w:eastAsia="Times New Roman" w:hAnsi="Times New Roman"/>
          <w:sz w:val="18"/>
          <w:szCs w:val="18"/>
          <w:color w:val="auto"/>
        </w:rPr>
        <w:t>. The right of the Company to commence delivering VWAP Purchase Notices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obligation of the Investor to accept VWAP Purchase Notices delivered to the Investor by the Company under this Agreement, are subject to the initial satisfaction, at Commencement, of each of the conditions set forth in this Section 7.1.</w:t>
      </w:r>
    </w:p>
    <w:p>
      <w:pPr>
        <w:spacing w:after="0" w:line="171" w:lineRule="exact"/>
        <w:rPr>
          <w:sz w:val="20"/>
          <w:szCs w:val="20"/>
          <w:color w:val="auto"/>
        </w:rPr>
      </w:pPr>
    </w:p>
    <w:p>
      <w:pPr>
        <w:jc w:val="both"/>
        <w:ind w:left="660" w:firstLine="1292"/>
        <w:spacing w:after="0" w:line="255" w:lineRule="auto"/>
        <w:tabs>
          <w:tab w:leader="none" w:pos="22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left="-460" w:firstLine="1292"/>
        <w:spacing w:after="0" w:line="257" w:lineRule="auto"/>
        <w:tabs>
          <w:tab w:leader="none" w:pos="11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Investor’s Representations and Warranties</w:t>
      </w:r>
      <w:r>
        <w:rPr>
          <w:rFonts w:ascii="Times New Roman" w:cs="Times New Roman" w:eastAsia="Times New Roman" w:hAnsi="Times New Roman"/>
          <w:sz w:val="18"/>
          <w:szCs w:val="18"/>
          <w:color w:val="auto"/>
        </w:rPr>
        <w:t>. The representations and warranties of the Investor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(a) that are not qualified by “materiality” shall be true and correct in all material respects as of the Commencement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Commencement Date, except to the extent such representations and warranties are as of another date, in which case, such representations and warranties shall be true and correct as of such other date.</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2" w:lineRule="auto"/>
        <w:tabs>
          <w:tab w:leader="none" w:pos="11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of the Company</w:t>
      </w:r>
      <w:r>
        <w:rPr>
          <w:rFonts w:ascii="Times New Roman" w:cs="Times New Roman" w:eastAsia="Times New Roman" w:hAnsi="Times New Roman"/>
          <w:sz w:val="18"/>
          <w:szCs w:val="18"/>
          <w:color w:val="auto"/>
        </w:rPr>
        <w:t>. The Company shall have performed, satisfied and complied in all material respects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agreements and conditions required by this Agreement to be performed, satisfied or complied with by the Company at or prior to the Commencement. The Company shall deliver to the Investor on the Commencement Date a compliance certificate in customary form (the “</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460" w:firstLine="1292"/>
        <w:spacing w:after="0" w:line="262" w:lineRule="auto"/>
        <w:tabs>
          <w:tab w:leader="none" w:pos="11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Registration Statement Effective</w:t>
      </w:r>
      <w:r>
        <w:rPr>
          <w:rFonts w:ascii="Times New Roman" w:cs="Times New Roman" w:eastAsia="Times New Roman" w:hAnsi="Times New Roman"/>
          <w:sz w:val="18"/>
          <w:szCs w:val="18"/>
          <w:color w:val="auto"/>
        </w:rPr>
        <w:t>. The Initial Registration Statement covering the resale by the Investor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included therein required to be filed by the Company with the Commission pursuant to Section 2.3 of this Agreement shall have been declared effective under the Securities Act by the Commission, and the Investor shall be permitted to utilize the Prospectus therein to resell all of the Shares included in such Prospectus.</w:t>
      </w:r>
    </w:p>
    <w:p>
      <w:pPr>
        <w:spacing w:after="0" w:line="176"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0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other federal or state governmental authority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federal or state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 supplement to the Prospectus contained therein or any Prospectus Supplement thereto to comply with the Securities Act or any other law. The Company shall have no knowledge of any event that would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Shares by the Investor.</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0" w:name="page41"/>
    <w:bookmarkEnd w:id="40"/>
    <w:p>
      <w:pPr>
        <w:jc w:val="both"/>
        <w:ind w:left="-460" w:firstLine="1292"/>
        <w:spacing w:after="0" w:line="254" w:lineRule="auto"/>
        <w:tabs>
          <w:tab w:leader="none" w:pos="11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Shares</w:t>
      </w:r>
      <w:r>
        <w:rPr>
          <w:rFonts w:ascii="Times New Roman" w:cs="Times New Roman" w:eastAsia="Times New Roman" w:hAnsi="Times New Roman"/>
          <w:sz w:val="18"/>
          <w:szCs w:val="18"/>
          <w:color w:val="auto"/>
        </w:rPr>
        <w:t>. Trading in the Common Shares shall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suspended by the Commission, the Principal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Shares on the Principal Market shall be terminated on a date certain (unless, prior to such date certain, the Common Shares is listed or quoted on any other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spacing w:after="0" w:line="185"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1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Company shall have complied with all applicable federal, state and local governmental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regulations and 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spacing w:after="0" w:line="182" w:lineRule="exact"/>
        <w:rPr>
          <w:rFonts w:ascii="Times New Roman" w:cs="Times New Roman" w:eastAsia="Times New Roman" w:hAnsi="Times New Roman"/>
          <w:sz w:val="18"/>
          <w:szCs w:val="18"/>
          <w:color w:val="auto"/>
        </w:rPr>
      </w:pPr>
    </w:p>
    <w:p>
      <w:pPr>
        <w:jc w:val="both"/>
        <w:ind w:left="-460" w:right="20" w:firstLine="1292"/>
        <w:spacing w:after="0" w:line="268" w:lineRule="auto"/>
        <w:tabs>
          <w:tab w:leader="none" w:pos="12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Injunction</w:t>
      </w:r>
      <w:r>
        <w:rPr>
          <w:rFonts w:ascii="Times New Roman" w:cs="Times New Roman" w:eastAsia="Times New Roman" w:hAnsi="Times New Roman"/>
          <w:sz w:val="18"/>
          <w:szCs w:val="18"/>
          <w:color w:val="auto"/>
        </w:rPr>
        <w:t>. No statute, regulation, order, decree, writ, ruling or injunction shall have been enacted,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threatened or endorsed by any court or governmental authority of competent jurisdiction which prohibits the consummation of or which would materially modify or delay any of the transactions contemplated by the Transaction Documents.</w:t>
      </w:r>
    </w:p>
    <w:p>
      <w:pPr>
        <w:spacing w:after="0" w:line="170" w:lineRule="exact"/>
        <w:rPr>
          <w:rFonts w:ascii="Times New Roman" w:cs="Times New Roman" w:eastAsia="Times New Roman" w:hAnsi="Times New Roman"/>
          <w:sz w:val="18"/>
          <w:szCs w:val="18"/>
          <w:color w:val="auto"/>
        </w:rPr>
      </w:pPr>
    </w:p>
    <w:p>
      <w:pPr>
        <w:jc w:val="both"/>
        <w:ind w:left="-460" w:firstLine="1292"/>
        <w:spacing w:after="0" w:line="262" w:lineRule="auto"/>
        <w:tabs>
          <w:tab w:leader="none" w:pos="11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Proceedings or Litigation</w:t>
      </w:r>
      <w:r>
        <w:rPr>
          <w:rFonts w:ascii="Times New Roman" w:cs="Times New Roman" w:eastAsia="Times New Roman" w:hAnsi="Times New Roman"/>
          <w:sz w:val="18"/>
          <w:szCs w:val="18"/>
          <w:color w:val="auto"/>
        </w:rPr>
        <w:t>. No action, suit or proceeding before any arbitrator or any court or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1" w:name="page42"/>
    <w:bookmarkEnd w:id="41"/>
    <w:p>
      <w:pPr>
        <w:ind w:left="4" w:firstLine="1292"/>
        <w:spacing w:after="0" w:line="286" w:lineRule="auto"/>
        <w:tabs>
          <w:tab w:leader="none" w:pos="15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Listing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Shares that have been and may be issued pursuant to this Agreement shall have been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listing or quotation on the Principal Market as of the Commencement Date, subject only to notice of issuance.</w:t>
      </w:r>
    </w:p>
    <w:p>
      <w:pPr>
        <w:spacing w:after="0" w:line="154" w:lineRule="exact"/>
        <w:rPr>
          <w:rFonts w:ascii="Times New Roman" w:cs="Times New Roman" w:eastAsia="Times New Roman" w:hAnsi="Times New Roman"/>
          <w:sz w:val="18"/>
          <w:szCs w:val="18"/>
          <w:color w:val="auto"/>
        </w:rPr>
      </w:pPr>
    </w:p>
    <w:p>
      <w:pPr>
        <w:ind w:left="4" w:firstLine="1292"/>
        <w:spacing w:after="0" w:line="286" w:lineRule="auto"/>
        <w:tabs>
          <w:tab w:leader="none" w:pos="160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condition, occurrence, state of facts or event constituting a Material Adverse Effect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occurred and be continuing.</w:t>
      </w:r>
    </w:p>
    <w:p>
      <w:pPr>
        <w:spacing w:after="0" w:line="154" w:lineRule="exact"/>
        <w:rPr>
          <w:rFonts w:ascii="Times New Roman" w:cs="Times New Roman" w:eastAsia="Times New Roman" w:hAnsi="Times New Roman"/>
          <w:sz w:val="18"/>
          <w:szCs w:val="18"/>
          <w:color w:val="auto"/>
        </w:rPr>
      </w:pPr>
    </w:p>
    <w:p>
      <w:pPr>
        <w:jc w:val="both"/>
        <w:ind w:left="4" w:firstLine="1292"/>
        <w:spacing w:after="0" w:line="255" w:lineRule="auto"/>
        <w:tabs>
          <w:tab w:leader="none" w:pos="1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Bankruptcy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shall have commenced a proceeding against the Company pursuant to or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any 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 (III) orders the liquidation of the Company or any of its Subsidiaries.</w:t>
      </w:r>
    </w:p>
    <w:p>
      <w:pPr>
        <w:spacing w:after="0" w:line="177" w:lineRule="exact"/>
        <w:rPr>
          <w:rFonts w:ascii="Times New Roman" w:cs="Times New Roman" w:eastAsia="Times New Roman" w:hAnsi="Times New Roman"/>
          <w:sz w:val="18"/>
          <w:szCs w:val="18"/>
          <w:color w:val="auto"/>
        </w:rPr>
      </w:pPr>
    </w:p>
    <w:p>
      <w:pPr>
        <w:jc w:val="both"/>
        <w:ind w:left="4" w:firstLine="1292"/>
        <w:spacing w:after="0" w:line="262" w:lineRule="auto"/>
        <w:tabs>
          <w:tab w:leader="none" w:pos="170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Commencement Irrevocable Transfer Agent Instructions and Opinion of Counsel</w:t>
      </w:r>
      <w:r>
        <w:rPr>
          <w:rFonts w:ascii="Times New Roman" w:cs="Times New Roman" w:eastAsia="Times New Roman" w:hAnsi="Times New Roman"/>
          <w:sz w:val="18"/>
          <w:szCs w:val="18"/>
          <w:color w:val="auto"/>
        </w:rPr>
        <w:t>. The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Transfer Agent Instructions shall have been executed by the Company and delivered to the Company’s transfer agent and an opinion of United States Counsel relating to the Initial Registration Statement and the removal of restrictive legends from the Shares shall have been executed by the Company’s outside counsel and delivered to the Transfer Agent.</w:t>
      </w:r>
    </w:p>
    <w:p>
      <w:pPr>
        <w:spacing w:after="0" w:line="176" w:lineRule="exact"/>
        <w:rPr>
          <w:rFonts w:ascii="Times New Roman" w:cs="Times New Roman" w:eastAsia="Times New Roman" w:hAnsi="Times New Roman"/>
          <w:sz w:val="18"/>
          <w:szCs w:val="18"/>
          <w:color w:val="auto"/>
        </w:rPr>
      </w:pPr>
    </w:p>
    <w:p>
      <w:pPr>
        <w:jc w:val="both"/>
        <w:ind w:left="4" w:firstLine="1292"/>
        <w:spacing w:after="0" w:line="268" w:lineRule="auto"/>
        <w:tabs>
          <w:tab w:leader="none" w:pos="172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Shares</w:t>
      </w:r>
      <w:r>
        <w:rPr>
          <w:rFonts w:ascii="Times New Roman" w:cs="Times New Roman" w:eastAsia="Times New Roman" w:hAnsi="Times New Roman"/>
          <w:sz w:val="18"/>
          <w:szCs w:val="18"/>
          <w:color w:val="auto"/>
        </w:rPr>
        <w:t>. As of the Commencement Date, the Company shall have reserved out of its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Common Shares a number of Common Shares equal to the Share Cap solely for the purpose of effecting VWAP Purchases under this Agreement.</w:t>
      </w:r>
    </w:p>
    <w:p>
      <w:pPr>
        <w:spacing w:after="0" w:line="170" w:lineRule="exact"/>
        <w:rPr>
          <w:rFonts w:ascii="Times New Roman" w:cs="Times New Roman" w:eastAsia="Times New Roman" w:hAnsi="Times New Roman"/>
          <w:sz w:val="18"/>
          <w:szCs w:val="18"/>
          <w:color w:val="auto"/>
        </w:rPr>
      </w:pPr>
    </w:p>
    <w:p>
      <w:pPr>
        <w:ind w:left="4" w:firstLine="1292"/>
        <w:spacing w:after="0" w:line="286" w:lineRule="auto"/>
        <w:tabs>
          <w:tab w:leader="none" w:pos="16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Opinions of Company Counsel</w:t>
      </w:r>
      <w:r>
        <w:rPr>
          <w:rFonts w:ascii="Times New Roman" w:cs="Times New Roman" w:eastAsia="Times New Roman" w:hAnsi="Times New Roman"/>
          <w:sz w:val="18"/>
          <w:szCs w:val="18"/>
          <w:color w:val="auto"/>
        </w:rPr>
        <w:t>. On the Commencement Date, the Investor shall have received the opinion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along with a 10b-5 letter, in customary form.</w:t>
      </w:r>
    </w:p>
    <w:p>
      <w:pPr>
        <w:spacing w:after="0" w:line="154" w:lineRule="exact"/>
        <w:rPr>
          <w:rFonts w:ascii="Times New Roman" w:cs="Times New Roman" w:eastAsia="Times New Roman" w:hAnsi="Times New Roman"/>
          <w:sz w:val="18"/>
          <w:szCs w:val="18"/>
          <w:color w:val="auto"/>
        </w:rPr>
      </w:pPr>
    </w:p>
    <w:p>
      <w:pPr>
        <w:jc w:val="both"/>
        <w:ind w:left="4" w:firstLine="1292"/>
        <w:spacing w:after="0" w:line="259" w:lineRule="auto"/>
        <w:tabs>
          <w:tab w:leader="none" w:pos="17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Comfort Letter of Accountant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Commencement Date, the Investor shall have received from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Accountants or a successor independent registered public accounting firm for the Company, a letter dated the Commencement Date addressed to the Investor, in form and substance reasonably satisfactory to the Investor with respect to the audited and unaudited financial statements and certain financial information contained in the Registration Statement and the Prospectus, and any Prospectus Supplement, except that the specific date referred to therein for the carrying out of procedures shall be no more than three (3) Business Days prior to the Commencement Date.</w:t>
      </w:r>
    </w:p>
    <w:p>
      <w:pPr>
        <w:spacing w:after="0" w:line="1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42" w:name="page43"/>
    <w:bookmarkEnd w:id="42"/>
    <w:p>
      <w:pPr>
        <w:jc w:val="both"/>
        <w:ind w:left="660" w:firstLine="1292"/>
        <w:spacing w:after="0" w:line="268" w:lineRule="auto"/>
        <w:tabs>
          <w:tab w:leader="none" w:pos="24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Shareholder Approval and Amendment to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Approval has been obtained and taken effect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have filed the Charter Amendment with the Secretary of State of the State of Delaware, which Charter Amendment has taken effect.</w:t>
      </w:r>
    </w:p>
    <w:p>
      <w:pPr>
        <w:spacing w:after="0" w:line="170" w:lineRule="exact"/>
        <w:rPr>
          <w:rFonts w:ascii="Times New Roman" w:cs="Times New Roman" w:eastAsia="Times New Roman" w:hAnsi="Times New Roman"/>
          <w:sz w:val="18"/>
          <w:szCs w:val="18"/>
          <w:color w:val="auto"/>
        </w:rPr>
      </w:pPr>
    </w:p>
    <w:p>
      <w:pPr>
        <w:ind w:left="2460" w:hanging="508"/>
        <w:spacing w:after="0"/>
        <w:tabs>
          <w:tab w:leader="none" w:pos="2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Upfront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paid the Upfront Fee to the Investor in accordance with 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10.1(ii).</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Conditions Precedent to VWAP Purchases after Commencement Date</w:t>
      </w:r>
      <w:r>
        <w:rPr>
          <w:rFonts w:ascii="Times New Roman" w:cs="Times New Roman" w:eastAsia="Times New Roman" w:hAnsi="Times New Roman"/>
          <w:sz w:val="18"/>
          <w:szCs w:val="18"/>
          <w:color w:val="auto"/>
        </w:rPr>
        <w:t>. The right of the Company to deliver VWAP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under this Agreement after the Commencement Date, and the obligation of the Investor to accept VWAP Purchase Notices under this Agreement after the Commencement Date, are subject to the satisfaction of each of the conditions set forth in this Section 7.2 at the applicable VWAP Purchase Commencement Time for the VWAP Purchase to be effected pursuant to the applicable VWAP Purchase Notice timely delivered by the Company to the Investor in accordance with this Agreement (each such time, a “</w:t>
      </w:r>
      <w:r>
        <w:rPr>
          <w:rFonts w:ascii="Times New Roman" w:cs="Times New Roman" w:eastAsia="Times New Roman" w:hAnsi="Times New Roman"/>
          <w:sz w:val="18"/>
          <w:szCs w:val="18"/>
          <w:b w:val="1"/>
          <w:bCs w:val="1"/>
          <w:i w:val="1"/>
          <w:iCs w:val="1"/>
          <w:color w:val="auto"/>
        </w:rPr>
        <w:t>VWAP Purchase Condition Satisfaction Time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firstLine="1292"/>
        <w:spacing w:after="0" w:line="286" w:lineRule="auto"/>
        <w:tabs>
          <w:tab w:leader="none" w:pos="21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Satisfaction of Certain Prior Conditions</w:t>
      </w:r>
      <w:r>
        <w:rPr>
          <w:rFonts w:ascii="Times New Roman" w:cs="Times New Roman" w:eastAsia="Times New Roman" w:hAnsi="Times New Roman"/>
          <w:sz w:val="18"/>
          <w:szCs w:val="18"/>
          <w:color w:val="auto"/>
        </w:rPr>
        <w:t>. Each of the conditions set forth in subsections (i), (ii), (vi) through (xiii), and (xv)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(xvii) set forth in Section</w:t>
      </w:r>
    </w:p>
    <w:p>
      <w:pPr>
        <w:spacing w:after="0" w:line="15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7.1 shall be satisfied at the applicable VWAP Purchase Condition Satisfaction Time after the Commencement Date (with the terms “Commencement” and “Commencement Date” in the conditions set forth in subsections (i) and (ii) of Section 7.1 replaced with “applicable VWAP Purchase Condition Satisfaction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deliver the Compliance Certificate after the Commencement Date, except as provided in Section 6.14 and Section 7.2(x).</w:t>
      </w:r>
    </w:p>
    <w:p>
      <w:pPr>
        <w:spacing w:after="0" w:line="176" w:lineRule="exact"/>
        <w:rPr>
          <w:sz w:val="20"/>
          <w:szCs w:val="20"/>
          <w:color w:val="auto"/>
        </w:rPr>
      </w:pPr>
    </w:p>
    <w:p>
      <w:pPr>
        <w:jc w:val="both"/>
        <w:ind w:left="660" w:firstLine="1292"/>
        <w:spacing w:after="0" w:line="254" w:lineRule="auto"/>
        <w:tabs>
          <w:tab w:leader="none" w:pos="22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Registration Statement Effective</w:t>
      </w:r>
      <w:r>
        <w:rPr>
          <w:rFonts w:ascii="Times New Roman" w:cs="Times New Roman" w:eastAsia="Times New Roman" w:hAnsi="Times New Roman"/>
          <w:sz w:val="18"/>
          <w:szCs w:val="18"/>
          <w:color w:val="auto"/>
        </w:rPr>
        <w:t>. The Initial Registration Statement covering the resale by the Investor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included therein required to be filed by the Company with the Commission pursuant to Section 2.3 of this Agreement, and any post-effective amendment thereto required to be filed by the Company with the Commission after the Commencement Date and prior to the applicable VWAP Purchase Date shall have been declared and shall remain effective under the Securities Act by the Commission, and the Investor shall be permitted to (and to continue to) utilize the Prospectus therein, and any Prospectus Supplement thereto, to resell all of the Shares included in the Initial Registration Statement, and any post-effective amendment thereto, that have been issued and sold to the Investor hereunder pursuant to all VWAP Purchase Notices delivered by the Company to the Investor prior to such applicable VWAP Purchase Date, and all of the Shares included in the Initial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left="-460" w:firstLine="1292"/>
        <w:spacing w:after="0" w:line="254" w:lineRule="auto"/>
        <w:tabs>
          <w:tab w:leader="none" w:pos="11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Any Required New Registration Statement Effective</w:t>
      </w:r>
      <w:r>
        <w:rPr>
          <w:rFonts w:ascii="Times New Roman" w:cs="Times New Roman" w:eastAsia="Times New Roman" w:hAnsi="Times New Roman"/>
          <w:sz w:val="18"/>
          <w:szCs w:val="18"/>
          <w:color w:val="auto"/>
        </w:rPr>
        <w:t>. Any New Registration Statement covering the resale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of the Registrable Securities included therein, and any post-effective amendment thereto, required to be filed by the Company with the Commission pursuant to this Agreement after the Commencement Date and prior to the applicable VWAP Purchase Date,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Shares included in such New Registration Statement, and any post-effective amendment thereto, that have been issued and sold to the Investor hereunder pursuant to all VWAP Purchase Notices delivered by the Company to the Investor prior to such applicable VWAP Purchase Date and (b) all of the Shares included in such new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spacing w:after="0" w:line="185"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1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Subsequent Irrevocable Transfer Agent Instructions and Opinion of Counsel</w:t>
      </w:r>
      <w:r>
        <w:rPr>
          <w:rFonts w:ascii="Times New Roman" w:cs="Times New Roman" w:eastAsia="Times New Roman" w:hAnsi="Times New Roman"/>
          <w:sz w:val="18"/>
          <w:szCs w:val="18"/>
          <w:color w:val="auto"/>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an opinion of United States Counsel relating to the removal of restrictive legends from the Shares, in each case modified as necessary to refer to such Registration Statement or post-effective amendment and the Registrable Securities included therein, to issue the Registrable Securities included therein as DWAC Shares in accordance with the terms of this Agreement.</w:t>
      </w:r>
    </w:p>
    <w:p>
      <w:pPr>
        <w:spacing w:after="0" w:line="184"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0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other federal or state governmental authority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VWAP Purchase Notice delivered by the Company to the Investor with respect to a VWAP Purchase to be effected hereunder on such applicable VWAP Purchase Date and the settlement thereof). The Company shall have no knowledge of any event that would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4" w:name="page45"/>
    <w:bookmarkEnd w:id="44"/>
    <w:p>
      <w:pPr>
        <w:jc w:val="both"/>
        <w:ind w:left="-460" w:firstLine="1292"/>
        <w:spacing w:after="0" w:line="254" w:lineRule="auto"/>
        <w:tabs>
          <w:tab w:leader="none" w:pos="11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Commission Filings</w:t>
      </w:r>
      <w:r>
        <w:rPr>
          <w:rFonts w:ascii="Times New Roman" w:cs="Times New Roman" w:eastAsia="Times New Roman" w:hAnsi="Times New Roman"/>
          <w:sz w:val="18"/>
          <w:szCs w:val="18"/>
          <w:color w:val="auto"/>
        </w:rPr>
        <w:t>. The final Prospectus included in any post-effective amendment to the Initial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any Prospectus Supplement thereto, required to be filed by the Company with the Commission pursuant to Section 2.3 after the Commencement Date and prior to the applicable VWAP Purchase Date, shall have been filed with the Commission in accordance with Section 2.3. The final Prospectus included in any New Registration Statement and in any post-effective amendment thereto, and any Prospectus Supplement thereto, required to be filed by the Company with the Commission pursuant to Section 2.3 after the Commencement Date and prior to the applicable VWAP Purchase Date, shall have been filed with the Commission in accordance with Section 2.3.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VWAP Purchase Date, shall have been filed with the Commission; provided, however, that the foregoing shall not apply to the Part III information required to be included in, or incorporated by reference into, the 2025 Form 10-K (or an amendment thereto on Form 10-K/A) to the extent such information has not been filed as of the Commencement Date.</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9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Shares</w:t>
      </w:r>
      <w:r>
        <w:rPr>
          <w:rFonts w:ascii="Times New Roman" w:cs="Times New Roman" w:eastAsia="Times New Roman" w:hAnsi="Times New Roman"/>
          <w:sz w:val="18"/>
          <w:szCs w:val="18"/>
          <w:color w:val="auto"/>
        </w:rPr>
        <w:t>. Trading in the Common Shares shall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suspended by the Commission, the Principal Market or the FINRA (except for any suspension of trading of limited duration agreed to by the Company, which suspension shall be terminated prior to the applicable VWAP Purchase Date), the Company shall not have received any final and non-appealable notice that the listing or quotation of the Common Shares on the Principal Market shall be terminated on a date certain (unless, prior to such date certain, the Common Shares is listed or quoted on any other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5" w:name="page46"/>
    <w:bookmarkEnd w:id="45"/>
    <w:p>
      <w:pPr>
        <w:jc w:val="both"/>
        <w:ind w:left="-460" w:firstLine="1292"/>
        <w:spacing w:after="0" w:line="257" w:lineRule="auto"/>
        <w:tabs>
          <w:tab w:leader="none" w:pos="12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and sale of the Shares issuable pursuant to the applicable VWAP Purchase Notice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 exceed the applicable VWAP Purchase Share Amount, (b) cause the Aggregate Limit or the Beneficial Ownership Limitation to be exceeded, or (c) cause the Exchange Cap (to the extent applicable under Section 3.3) to be exceeded, unless in the case of this clause (c), the Company’s shareholders have theretofore approved the issuance of Common Shares under this Agreement in excess of the Exchange Cap in accordance with the applicable rules of the Principal Market unless the Company’s shareholders have approved the issuance of Common Shares pursuant to this Agreement in excess of the Exchange Cap in accordance with the applicable rules of the Principal Market.</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2" w:lineRule="auto"/>
        <w:tabs>
          <w:tab w:leader="none" w:pos="11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Authorized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Shares issuable pursuant to the applicable VWAP Purchase Notice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authorized by all necessary corporate action of the Company. All Shares relating to all prior VWAP Purchase Notices required to have been received by the Investor as DWAC Shares under this Agreement prior to the applicable VWAP Purchase Condition Satisfaction Time for the applicable VWAP Purchase shall have been delivered to the Investor as DWAC Shares in accordance with this Agreement.</w:t>
      </w:r>
    </w:p>
    <w:p>
      <w:pPr>
        <w:spacing w:after="0" w:line="176"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0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Bring-Down Opinions of Company Counsel, Bring-Down Comfort Letters and Compliance Certificates</w:t>
      </w:r>
      <w:r>
        <w:rPr>
          <w:rFonts w:ascii="Times New Roman" w:cs="Times New Roman" w:eastAsia="Times New Roman" w:hAnsi="Times New Roman"/>
          <w:sz w:val="18"/>
          <w:szCs w:val="18"/>
          <w:color w:val="auto"/>
        </w:rPr>
        <w:t>.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received (a) all Bring-Down Opinions from Company Counsel for which the Company was obligated to instruct its Company Counsel to deliver to the Investor prior to the applicable VWAP Purchase Condition Satisfaction Time for the applicable VWAP Purchase, (b) all Bring-Down comfort letters provided by the Company’s auditors and delivered to the Investor prior to the applicable VWAP Purchase Condition Satisfaction Time for the applicable VWAP Purchase and (c) all Compliance Certificates from the Company that the Company was obligated to deliver to the Investor prior to the applicable VWAP Purchase Condition Satisfaction Time for the applicable VWAP Purchase, in each case in accordance with Section 6.14.</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8" w:lineRule="auto"/>
        <w:tabs>
          <w:tab w:leader="none" w:pos="11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color w:val="auto"/>
        </w:rPr>
        <w:t>. The Company shall not be in possession of any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Company that the Company is required to, but has not, publicly disclosed and, in the Investor’s sole discretion, the Investor, shall not be in possession of any material non-public information concerning the Company.</w:t>
      </w:r>
    </w:p>
    <w:p>
      <w:pPr>
        <w:spacing w:after="0" w:line="170"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Minimum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VWAP Purchase Price shall be equal to or greater than the Threshold Price.</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6" w:name="page47"/>
    <w:bookmarkEnd w:id="46"/>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Automatic Termination</w:t>
      </w:r>
      <w:r>
        <w:rPr>
          <w:rFonts w:ascii="Times New Roman" w:cs="Times New Roman" w:eastAsia="Times New Roman" w:hAnsi="Times New Roman"/>
          <w:sz w:val="18"/>
          <w:szCs w:val="18"/>
          <w:color w:val="auto"/>
        </w:rPr>
        <w:t>. Unless earlier terminated as provided hereunder, this Agreement shall terminate automatically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to occur of (i) the first day of the month next following the 24-month anniversary of the Effective Date of the Initial Registration Statement, (ii) the date on which the Investor shall have purchased the Total Commitment worth of Shares pursuant to this Agreement, (iii) the date on which the Common</w:t>
      </w:r>
    </w:p>
    <w:p>
      <w:pPr>
        <w:jc w:val="both"/>
        <w:spacing w:after="0" w:line="209" w:lineRule="auto"/>
        <w:rPr>
          <w:sz w:val="20"/>
          <w:szCs w:val="20"/>
          <w:color w:val="auto"/>
        </w:rPr>
      </w:pPr>
      <w:r>
        <w:rPr>
          <w:rFonts w:ascii="Times New Roman" w:cs="Times New Roman" w:eastAsia="Times New Roman" w:hAnsi="Times New Roman"/>
          <w:sz w:val="18"/>
          <w:szCs w:val="18"/>
          <w:color w:val="auto"/>
        </w:rPr>
        <w:t>Shares shall have failed to be listed or quoted on the Principal Market or any other Principal Market, (iv)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next following the date on which, pursuant to or within the meaning of any Bankruptcy Law, the Company commences a voluntary case or any Person commences a</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proceeding against the Company, in each case that is not discharged or dismissed prior to such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and (v) the date on which, pursuant to or within the meaning of any Bankruptcy Law, a Custodian is appointed for the Company or for all or substantially all of its property, or the Company makes a general assignment for the benefit of its creditors.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Other Termination</w:t>
      </w:r>
      <w:r>
        <w:rPr>
          <w:rFonts w:ascii="Times New Roman" w:cs="Times New Roman" w:eastAsia="Times New Roman" w:hAnsi="Times New Roman"/>
          <w:sz w:val="18"/>
          <w:szCs w:val="18"/>
          <w:color w:val="auto"/>
        </w:rPr>
        <w:t>. Subject to Section 8.3, the Company may terminate this Agreement after the Commencement Date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ten (10) Trading Days’ prior written notice to the Investor in accordance with Section 10.4;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shall have paid the Upfront Fee to the Investor required to be paid pursuant to Section 10.1(ii) of this Agreement, which shall be non-refundable irrespective of any termination under this Section 8,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ten (10) Trading Days’ prior written notice to the Company, which notice shall be made in accordance with Section 10.4 of this Agreement, if: (a) a Fundamental Transaction shall have occurred; (b) the Company is in breach or default in any material respect of any of its covenants and agreements in this Agreement, and, if such breach or default is capable of being cured, such breach or default is not cured within fifteen (15) Trading Days after notice of such breach or default is delivered to the Company pursuant to Section 10.4 of this Agreement; (c) while a Registration Statement, or any post-effective amendment thereto, is required to be maintained effective pursuant to the terms of this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this Agreement, and such lapse or unavailability continues for a period of forty-five (45) consecutive Trading Days or for more than an aggregate of ninety (90) Trading Days in any three hundred and sixty-five (365)-day period, other than due to acts of the Investor; (d) trading in the Common Shares on the Principal Market (or if the Common Shares is then listed on an Principal Market, trading in the Common Shares on such Principal Market) shall have been suspended and such suspension continues for a period of five (5) consecutive Trading Days; or (e) the Company is in material breach or default of any of its covenants and agreements contained in this Agreement, and, if such breach or default is capable of being cured, such breach or default is not cured within fifteen (15) Trading Days after notice of such breach or default is delivered to the Company pursuant to Section 10.4 of this Agreement.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Principal Market (or if the Common Shares is then listed on an Principal Market, under the applicable rules and regulations of such Principal Market), the Company shall publicly disclose such information in accordance with Regulation FD and the applicable rules and regulations of the Principal Market (or such Principal Market, as applicable)) upon becoming aware of any of the events set forth in the immediately preceding sentence.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termination by the Company or the Investor (other than by mutual termination)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Shares, the covenants and agreements of the Company contained in Article VI (Additional Covenants) shall remain in full force and notwithstanding such termination for a period of thirty (30) days following such termination. Notwithstanding anything in this Agreement to the contrary, no termination of this Agreement by any party shall (i) become effective prior to the second (2nd) Trading Day immediately following the date on which the purchase of Shares by the Investor pursuant to any pending VWAP Purchase has been fully settled, including, without limitation, the delivery by the Company to the Investor of all Shares purchased by the Investor pursuant to such pending VWAP Purchase as DWAC Shares on the applicable VWAP Purchase Share Delivery Date therefor, and the delivery by the Investor to the Company of the aggregate VWAP Purchase Price payable by the Investor for such Shares, in each case in accordance with the settlement procedures set forth in Section 3.2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that has not fully settled, and that the parties shall fully perform their respective obligations with respect to any such pending VWAP Purchase under the Transaction Documents), (ii) limit, alter, modify, change or otherwise affect the Company’s or the Investor’s rights or obligations under this Agreement as they relate to the Initial Registration Statement or the New Registration Statement and the maintenance of their continued effectiveness, all of which shall survive any such termination, or (iii) affect the Upfront Fee payable to the Investor pursuant to Section 10.1(ii). Nothing in this Section 8.3 shall be deemed to release the Company or the Investor from any liability for any breach or default under this Agreement or any of the other Transaction Documents to which it is a party, or to impair the rights of the Company and the Investor to compel specific performance by the other party of its obligations under this Agreement or any of the other Transaction Documents to which it is a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Indemnification of Investor</w:t>
      </w:r>
      <w:r>
        <w:rPr>
          <w:rFonts w:ascii="Times New Roman" w:cs="Times New Roman" w:eastAsia="Times New Roman" w:hAnsi="Times New Roman"/>
          <w:sz w:val="18"/>
          <w:szCs w:val="18"/>
          <w:color w:val="auto"/>
        </w:rPr>
        <w:t>. In consideration of the Investor’s execution and delivery of this Agreement and acquiring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in addition to all of the Company’s other obligations under the Transaction Documents to which it is a party, subject to the provisions of this Section 9.1, the Company shall indemnify and hold harmless the Investor,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from and against all losses, liabilities, obligations, claims, contingencies, damages, costs and expenses (including all judgments, amounts paid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 court costs, reasonable attorneys’ fees and costs of defense and investigation) (collectively, “</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xml:space="preserve">”) that any Investor Party has suffered or incurred (a) as a result of, relating to or arising out of, or based upon any untrue statement or alleged untrue statement of a material fact contained in any Commission Document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Commission Document, or the omission or alleged omission therefrom of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indemnity in (a) shall not apply to any loss, liability, claim, damage or expense to the extent arising out of an untrue statement or omission, or alleged untrue statement or omission in a Commission Document, made in reliance upon and in conformity with information furnished in writing to the Company by the Investor for the Company’s express use in connection with the preparation of the Registration Statement, Prospectus or Prospectus Supplement or any such amendment thereof or supplement thereto (it being hereby acknowledged and agreed that the written information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is the only written information furnished to the Company by or on behalf of the Investor expressly for use in any Registration Statement, Prospectus or Prospectus Supplement), (b)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settlement is effected with the written consent of the Company, which consent shall not unreasonably be delayed, conditioned or withheld, (c)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(a) or (b) above, (d) as a result of, relating to or arising out of any breach by the Company of its representations, warranties, covenants or agreements under this Agreement, or (e) as a result of, relating to or arising out of any other action, suit, claim or proceeding against an Investor Party arising out of or otherwise in connection with the Transaction Documents (except in the case of subsection (e), solely to the extent any Damage is determined by a court of competent jurisdiction, not subject to further appeal, to have resulted primarily and directly from the bad faith or gross negligence of such Investor Party).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Section 9.1. To the extent that the foregoing undertakings by the Company set forth in this Section 9.1 may be unenforceable for any reason, the Company shall make the maximum contribution to the payment and satisfaction of each of the Damages which is permissible under applicable law, provided that in no event shall the Investor be obligated to contribute any amount in excess of the fees it actually receives pursuant to this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Indemnification of the Company</w:t>
      </w:r>
      <w:r>
        <w:rPr>
          <w:rFonts w:ascii="Times New Roman" w:cs="Times New Roman" w:eastAsia="Times New Roman" w:hAnsi="Times New Roman"/>
          <w:sz w:val="18"/>
          <w:szCs w:val="18"/>
          <w:color w:val="auto"/>
        </w:rPr>
        <w:t>. In consideration of the Company’s execution and delivery of this Agreement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hereunder and in addition to all of the Investor’s other obligations under the Transaction Documents to which it is a party, subject to the provisions of this Section 9.2, the Investor shall indemnify and hold harmless the Company,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Company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 “</w:t>
      </w:r>
      <w:r>
        <w:rPr>
          <w:rFonts w:ascii="Times New Roman" w:cs="Times New Roman" w:eastAsia="Times New Roman" w:hAnsi="Times New Roman"/>
          <w:sz w:val="18"/>
          <w:szCs w:val="18"/>
          <w:b w:val="1"/>
          <w:bCs w:val="1"/>
          <w:i w:val="1"/>
          <w:iCs w:val="1"/>
          <w:color w:val="auto"/>
        </w:rPr>
        <w:t>Company Party</w:t>
      </w:r>
      <w:r>
        <w:rPr>
          <w:rFonts w:ascii="Times New Roman" w:cs="Times New Roman" w:eastAsia="Times New Roman" w:hAnsi="Times New Roman"/>
          <w:sz w:val="18"/>
          <w:szCs w:val="18"/>
          <w:color w:val="auto"/>
        </w:rPr>
        <w:t>”), from and against Damages that any Company Party may suffer or incur in connection with the claims described in clauses (a), (b), (c),</w:t>
      </w:r>
    </w:p>
    <w:p>
      <w:pPr>
        <w:spacing w:after="0" w:line="5" w:lineRule="exact"/>
        <w:rPr>
          <w:sz w:val="20"/>
          <w:szCs w:val="20"/>
          <w:color w:val="auto"/>
        </w:rPr>
      </w:pPr>
    </w:p>
    <w:p>
      <w:pPr>
        <w:jc w:val="both"/>
        <w:ind w:firstLine="8"/>
        <w:spacing w:after="0" w:line="252"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 of Section 9.1; provided that, such indemnity shall only be required if the Damages occurred as a result of an untrue statement or omission, or alleged untrue statement or omission in a Commission Document, made in reliance upon and in conformity with information furnished in writing to the Company by the Investor for the Company’s express for use in connection with the preparation of the Registration Statement, Prospectus or Prospectus Supplement or any such amendment thereof or supplement thereto (it being hereby acknowledged and agreed that the written information set forth in a customary selling shareholder questionnaire is the only written information furnished to the Company by or on behalf of the Investor expressly for use in any Registration Statement, Prospectus or Prospectus Supplement).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u w:val="single" w:color="auto"/>
          <w:color w:val="auto"/>
        </w:rPr>
        <w:t>Indemnification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1" w:lineRule="auto"/>
        <w:tabs>
          <w:tab w:leader="none" w:pos="15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an Investor Party receives notice of a claim or the commencement of an action for which the Investor Party intends to seek indemnification under Section 9.1, the Investor Party will notify the Company in writing of the claim or commencement of the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notify the Company will not relieve the Company from liability under Section 9.1, unless and solely to the extent it has been materially prejudiced by the failure to give such notice as evidenced by the forfeiture of by the Company of substantive rights or defenses.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it.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unless (1) the employment of counsel by the Investor Party has been authorized in writing by the Company, (2) the Investor Party has reasonably concluded (based on advice of counsel) that there may be legal defenses available to it or another Investor Party that are different from or in addition to those available to the Company, (3) a conflict or potential conflict exists (based on advice of counsel to the Investor Party) between an Investor Party and the Company (in which case the Company will not have the right to direct the defense of such action on behalf of the indemnified party) or (4) the Company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Company. It is understood that the Company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similarly situated Investor Parties. The Company will not be liable for any settlement of any action effected without its prior written consent, which consent shall not be unreasonably withheld, delayed or conditioned. The Company shall not, without the prior written consent of each indemnified party, settle or compromise or consent to the entry of any judgment in any pending or threatened claim, action or proceeding relating to the matters contemplated by this section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1304"/>
        <w:spacing w:after="0" w:line="251" w:lineRule="auto"/>
        <w:tabs>
          <w:tab w:leader="none" w:pos="15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for just and equitable contribution in circumstances in which the indemnification provided for in the foregoing paragraphs of this Article IX for any reason is held to be unavailable or insufficient to hold an Investor Party harmless, the Company and the Investor Party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Investor Party may be subject in such proportion as shall be appropriate to reflect the relative benefits received by the Company on the one hand and the Investor on the other hand. The relative benefits received by the Company on the one hand and the Investor Party on the other hand shall be deemed to be in the same proportion as the total net proceeds from the aggregate of all VWAP Purchase Amounts (before deducting expenses) received by the Company bear to the total compensation received by the Investor from the Company pursuant to this Agreement.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Investor Party,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Investor Party, the intent of the parties and their relative knowledge, access to information and opportunity to correct or prevent such statement or omission. The Company and the Investor Party agree that it would not be just and equitable if contributions pursuant to this Section 9.3(b)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9.3(b) shall be deemed to include, for the purpose of this Section 9.3(b), any legal or other expenses reasonably incurred by such indemnified party in connection with investigating or defending any such action or claim to the extent consistent with Section 9.3(a) hereof. Notwithstanding the foregoing provisions of this Section 9.3(b), the Investor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9.3(b),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9.3(b), will notify any such party or parties from whom contribution may be sought, but the omission to so notify will not relieve that party or parties from whom contribution may be sought from any other obligation it or they may have under this Section 9.3(b)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Section 9.3(a) hereof.</w:t>
      </w:r>
    </w:p>
    <w:p>
      <w:pPr>
        <w:spacing w:after="0" w:line="201" w:lineRule="exact"/>
        <w:rPr>
          <w:rFonts w:ascii="Times New Roman" w:cs="Times New Roman" w:eastAsia="Times New Roman" w:hAnsi="Times New Roman"/>
          <w:sz w:val="18"/>
          <w:szCs w:val="18"/>
          <w:color w:val="auto"/>
        </w:rPr>
      </w:pPr>
    </w:p>
    <w:p>
      <w:pPr>
        <w:ind w:right="20" w:firstLine="1304"/>
        <w:spacing w:after="0" w:line="282" w:lineRule="auto"/>
        <w:tabs>
          <w:tab w:leader="none" w:pos="1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Party shall provide equivalent notice to the Investor in the case the Company seeks indemnification or contribution from the Investor pursuant to Section 9.2.</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The remedies provided for in this Article IX are not exclusive and shall not limit any rights or remedies which may otherwise be available to any Investor Party at law or in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Certain Fees and Expenses; Upfront Fee; Commencement Irrevocable Transfer Agent Instructions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68" w:lineRule="auto"/>
        <w:tabs>
          <w:tab w:leader="none" w:pos="15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Fees and Expenses</w:t>
      </w:r>
      <w:r>
        <w:rPr>
          <w:rFonts w:ascii="Times New Roman" w:cs="Times New Roman" w:eastAsia="Times New Roman" w:hAnsi="Times New Roman"/>
          <w:sz w:val="18"/>
          <w:szCs w:val="18"/>
          <w:color w:val="auto"/>
        </w:rPr>
        <w:t>. Each party shall bear its own fees and expenses related to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 The Company shall pay all U.S. federal, state and local stamp and other similar transfer and other taxes (other than income taxes) and duties levied in connection with issuance of the Shares pursuant hereto.</w:t>
      </w:r>
    </w:p>
    <w:p>
      <w:pPr>
        <w:spacing w:after="0" w:line="170" w:lineRule="exact"/>
        <w:rPr>
          <w:rFonts w:ascii="Times New Roman" w:cs="Times New Roman" w:eastAsia="Times New Roman" w:hAnsi="Times New Roman"/>
          <w:sz w:val="18"/>
          <w:szCs w:val="18"/>
          <w:color w:val="auto"/>
        </w:rPr>
      </w:pPr>
    </w:p>
    <w:p>
      <w:pPr>
        <w:jc w:val="both"/>
        <w:ind w:firstLine="1292"/>
        <w:spacing w:after="0" w:line="268" w:lineRule="auto"/>
        <w:tabs>
          <w:tab w:leader="none" w:pos="15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Upfront Fee. </w:t>
      </w:r>
      <w:r>
        <w:rPr>
          <w:rFonts w:ascii="Times New Roman" w:cs="Times New Roman" w:eastAsia="Times New Roman" w:hAnsi="Times New Roman"/>
          <w:sz w:val="18"/>
          <w:szCs w:val="18"/>
          <w:color w:val="auto"/>
        </w:rPr>
        <w:t>In consideration of the Investor’s execution and delivery of this Agreement, the Company shall pay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a one-time fee of One Hundred Thousand Dollars ($100,000) (the “Upfront Fee”), payable in cash by wire transfer of immediately available funds on the date of this Agreement. The Upfront Fee shall be fully earned as of the date of this Agreement and shall be non-refundable.</w:t>
      </w:r>
    </w:p>
    <w:p>
      <w:pPr>
        <w:spacing w:after="0" w:line="170" w:lineRule="exact"/>
        <w:rPr>
          <w:rFonts w:ascii="Times New Roman" w:cs="Times New Roman" w:eastAsia="Times New Roman" w:hAnsi="Times New Roman"/>
          <w:sz w:val="18"/>
          <w:szCs w:val="18"/>
          <w:color w:val="auto"/>
        </w:rPr>
      </w:pPr>
    </w:p>
    <w:p>
      <w:pPr>
        <w:jc w:val="both"/>
        <w:ind w:firstLine="1292"/>
        <w:spacing w:after="0" w:line="251" w:lineRule="auto"/>
        <w:tabs>
          <w:tab w:leader="none" w:pos="16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Irrevocable Transfer Agent Instructions; Opinion of Counsel</w:t>
      </w:r>
      <w:r>
        <w:rPr>
          <w:rFonts w:ascii="Times New Roman" w:cs="Times New Roman" w:eastAsia="Times New Roman" w:hAnsi="Times New Roman"/>
          <w:sz w:val="18"/>
          <w:szCs w:val="18"/>
          <w:color w:val="auto"/>
        </w:rPr>
        <w:t>. On the Effective Date of the Initial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prior to Commencement, the Company shall deliver or cause to be delivered to its Transfer Agent (and thereafter, shall deliver or cause to be delivered to any subsequent transfer agent of the Company), (i) irrevocable instructions executed by the Company and delivered to the Company’s transfer agent (the “</w:t>
      </w:r>
      <w:r>
        <w:rPr>
          <w:rFonts w:ascii="Times New Roman" w:cs="Times New Roman" w:eastAsia="Times New Roman" w:hAnsi="Times New Roman"/>
          <w:sz w:val="18"/>
          <w:szCs w:val="18"/>
          <w:b w:val="1"/>
          <w:bCs w:val="1"/>
          <w:i w:val="1"/>
          <w:iCs w:val="1"/>
          <w:color w:val="auto"/>
        </w:rPr>
        <w:t>Commencement Irrevocable Transfer Agent Instructions</w:t>
      </w:r>
      <w:r>
        <w:rPr>
          <w:rFonts w:ascii="Times New Roman" w:cs="Times New Roman" w:eastAsia="Times New Roman" w:hAnsi="Times New Roman"/>
          <w:sz w:val="18"/>
          <w:szCs w:val="18"/>
          <w:color w:val="auto"/>
        </w:rPr>
        <w:t>”) directing the Transfer Agent to issue to the Investor or its designated Broker-Dealer at which the account or accounts to be credited with the Shares being purchased by Investor are maintained any Registrable Securities included in the Initial Registration Statement as DWAC Shares, if and when such Registrable Securities are issued in accordance with this Agreement and (ii) an opinion of United States Counsel as contemplated by this Agreement relating to the Initial Registration Statement and the removal of restrictive legends from the Shares. With respect to any post-effective amendment to the Initial Registration Statement, any New Registration Statement or any post-effective amendment to any New Registration Statement, in each case declared effective by the 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Transfer Agent and (ii) an opinion of United States Counsel, in each case modified as necessary to refer to such Registration Statement or post-effective amendment and the Registrable Securities included therein, to issue the Registrable Securities included therein as DWAC Shares in accordance with the terms of this Agreement. For the avoidance of doubt, all Shares to be issued in respect of any VWAP Purchase Notice delivered to the Investor pursuant to this Agreement shall be issued to the Investor in accordance with Section 3.2 by crediting the Investor’s account at DTC as DWAC Shares, and the Company shall not take any action or give instructions to any transfer agent of the Company otherwise. The Company represents and warrants to the Investor that, while this Agreement is effective, no instruction other than those referred to in this Section 10.1(iii) will be given by the Company to its Transfer Agent, or any successor transfer agent of the Company, with respect to the Shares from and after Commencement, and the Registrable Securities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10.1(iii) within three (3) Trading Days after the date on which the Investor has provided any deliverables that the Investor may be required to provide to the Company or its Transfer Agent (if any), the Company shall, at the Investor’s written instruction, purchase from the Investor all Common Shares purchased or acquired by the Investor pursuant to this Agreement that contain any restrictive legend or that have any stop transfer orders maintained that prohibit or impede the transfer thereof in any respect at the greater of (i) the purchase price paid by the Investor for such Common Shares (as applicable) and (ii) the Closing Sale Price of the Common Shares on the date of the Investor’s written instruction.</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Specific Enforcement, Consent to Jurisdiction, Waiver of Jury Trial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1292"/>
        <w:spacing w:after="0" w:line="258" w:lineRule="auto"/>
        <w:tabs>
          <w:tab w:leader="none" w:pos="153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83" w:lineRule="exact"/>
        <w:rPr>
          <w:rFonts w:ascii="Times New Roman" w:cs="Times New Roman" w:eastAsia="Times New Roman" w:hAnsi="Times New Roman"/>
          <w:sz w:val="18"/>
          <w:szCs w:val="18"/>
          <w:color w:val="auto"/>
        </w:rPr>
      </w:pPr>
    </w:p>
    <w:p>
      <w:pPr>
        <w:jc w:val="both"/>
        <w:ind w:left="4" w:firstLine="1292"/>
        <w:spacing w:after="0" w:line="277" w:lineRule="auto"/>
        <w:tabs>
          <w:tab w:leader="none" w:pos="156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dispute, controversy, or claim arising out of or in connection with this Agreement, including any question regarding its existence, validity, or termination, shall be referred to and finally resolved by arbitration administered by the New York International Arbitration Center in accordance with the New York International Arbitration Center Administered Arbitration Rules in force at the time of the arbitration. The seat of the arbitration shall be New York, New York. The arbitration tribunal shall consist of one (1) arbitrator. The language of the arbitration shall be English. The parties agree that any arbitration award rendered hereunder may be enforced in any court of competent jurisdiction.</w:t>
      </w:r>
    </w:p>
    <w:p>
      <w:pPr>
        <w:spacing w:after="0" w:line="167" w:lineRule="exact"/>
        <w:rPr>
          <w:rFonts w:ascii="Times New Roman" w:cs="Times New Roman" w:eastAsia="Times New Roman" w:hAnsi="Times New Roman"/>
          <w:sz w:val="17"/>
          <w:szCs w:val="17"/>
          <w:color w:val="auto"/>
        </w:rPr>
      </w:pPr>
    </w:p>
    <w:p>
      <w:pPr>
        <w:jc w:val="both"/>
        <w:ind w:left="4" w:firstLine="1292"/>
        <w:spacing w:after="0" w:line="268" w:lineRule="auto"/>
        <w:tabs>
          <w:tab w:leader="none" w:pos="161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w:t>
      </w:r>
    </w:p>
    <w:p>
      <w:pPr>
        <w:spacing w:after="0" w:line="4" w:lineRule="exact"/>
        <w:rPr>
          <w:rFonts w:ascii="Times New Roman" w:cs="Times New Roman" w:eastAsia="Times New Roman" w:hAnsi="Times New Roman"/>
          <w:sz w:val="17"/>
          <w:szCs w:val="17"/>
          <w:color w:val="auto"/>
        </w:rPr>
      </w:pPr>
    </w:p>
    <w:p>
      <w:pPr>
        <w:ind w:left="4" w:hanging="4"/>
        <w:spacing w:after="0" w:line="260" w:lineRule="auto"/>
        <w:tabs>
          <w:tab w:leader="none" w:pos="2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TO ENTER INTO THIS AGREEMENT BY, AMONG OTHER THINGS, THE MUTUAL WAIVERS AND CERTIFICATIONS IN THIS SECTION 10.2.</w:t>
      </w:r>
    </w:p>
    <w:p>
      <w:pPr>
        <w:spacing w:after="0" w:line="18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54" w:name="page55"/>
    <w:bookmarkEnd w:id="54"/>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set forth the entire agreement and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and contemporaneous 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All exhibits to this Agreement are hereby incorporated by reference in, and made a part of, this Agreement as if set forth in full herein.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request, waiver or other communication required or permitted to be given hereunder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Sheng, Chief Financial Officer AIxCrypto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1990 E. Grand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Segundo, CA 90245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 Loeb &amp; Loeb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407-4000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Hermione Krumm,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hkrumm@loeb.com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2206-19 Jardine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Connaught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Hong Kong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852-3923-1111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Henry Yin, Esq.; Benjamin Yao,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henry.yin@loeb.com; byao@loeb.com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 King Arthur Holding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H020 3/F Phase 2 Kwai 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 Building 42-46 Tai Lin Pai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Rd, Kwai Chung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+1 424-540-0044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Shawn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shawn.wang830927@gmail.com</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for notices by giving at least five (5) days’ advance written notice of such changed address to the other party hereto.</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No provision of this Agreement may be waived by the parties from and after the date that is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the filing of the Initial Registration Statement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provision of this Agreement may be amended by the parties from and after the date that is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the filing of the Initial Registration Statement with the Commission. Subject to the immediately preceding sentence, no provision of this Agreement may be amended other than by a written instrument signed by both parties hereto.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article, section and subsection headings in this Agreement are for convenience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parties agree that each of them and their respective counsel has reviewed and had an opportunity to revise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Common Shares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respective successors.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the Investor may assign this Agreement or any of their respective rights or obligations hereunder to any Person.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Except as expressly provided in Article IX, this Agreement is intended only for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successors, and is not for the benefit of, nor may any provision hereof be enforced by, any other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procedural and substantive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 without giving effect to the choice of law provisions of such state that would cause the application of the laws of any other jurisdiction.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representations, warranties, covenants and agreements of the Company and the Investor contained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survive the execution and delivery hereof until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provisions of Section 6.3, Article VIII (Termination), Article IX (Indemnification) and this Article X (Miscellaneous) shall remain in full force and effect indefinitely notwithstanding such termination, and, (ii) so long as the Investor owns any Shares, the covenants and agreements of the Company and the Investor contained in Article VI (Additional Covenants), shall remain in full force and effect notwithstanding such termination for a period of thirty (30) days following such termination.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two (2) or more identical counterparts, all of which shall be considered 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agreement and shall become effective when counterparts have been signed by each party and delivered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The Company shall afford the Investor and its counsel with a reasonable opportunity to review and comment upon,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are severable and, in the event that any court of competent jurisdiction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and after the Closing Date, upon the request of the Investor or the Company, each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shall execute and deliver such instrument, documents and other writings as may be reasonably necessary or desirable to confirm and carry out and to effectuate fully the intent and purposes of this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duly executed by their respective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Jerry Wang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 King Arthur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Shawn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Shawn Wang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Common Shares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ANNEX I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PURCHASE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shall have the meaning assigned to such term in Section 5.7(c)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any Person that, directly or indirectly through one or more intermediaries, controls, is controlled by, or is under common control with a Person, as such terms are used in and construed under Rule 144.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Limit</w:t>
      </w:r>
      <w:r>
        <w:rPr>
          <w:rFonts w:ascii="Times New Roman" w:cs="Times New Roman" w:eastAsia="Times New Roman" w:hAnsi="Times New Roman"/>
          <w:sz w:val="18"/>
          <w:szCs w:val="18"/>
          <w:color w:val="auto"/>
        </w:rPr>
        <w:t>” shall have the meaning assigned to such term in Section 2.1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assigned to such term in the introductory paragraph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Allowable Grace Period</w:t>
      </w:r>
      <w:r>
        <w:rPr>
          <w:rFonts w:ascii="Times New Roman" w:cs="Times New Roman" w:eastAsia="Times New Roman" w:hAnsi="Times New Roman"/>
          <w:sz w:val="18"/>
          <w:szCs w:val="18"/>
          <w:color w:val="auto"/>
        </w:rPr>
        <w:t>” shall have the meaning assigned to such term in Section 6.3(vi)(m)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shall have the meaning assigned to such term in Section 5.21.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shall have the meaning assigned to such term in Section 5.14 of this Agreement.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shall have the meaning assigned to such term in Section 5.14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shall mean Title 11, U.S. Code, or any similar U.S.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assigned to such term in Section 3.4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w:t>
      </w:r>
      <w:r>
        <w:rPr>
          <w:rFonts w:ascii="Times New Roman" w:cs="Times New Roman" w:eastAsia="Times New Roman" w:hAnsi="Times New Roman"/>
          <w:sz w:val="18"/>
          <w:szCs w:val="18"/>
          <w:color w:val="auto"/>
        </w:rPr>
        <w:t>” shall mean any trade in excess of 10,000 Common Shares on a single Trading Day to a single purchaser, as reported by Bloomberg through its “AQR” function.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shall mean Bloomberg,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shall have the meaning assigned to such term in Section 6.12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Bring-Down Opinion</w:t>
      </w:r>
      <w:r>
        <w:rPr>
          <w:rFonts w:ascii="Times New Roman" w:cs="Times New Roman" w:eastAsia="Times New Roman" w:hAnsi="Times New Roman"/>
          <w:sz w:val="18"/>
          <w:szCs w:val="18"/>
          <w:color w:val="auto"/>
        </w:rPr>
        <w:t>” shall have the meaning assigned to such term in Section 6.14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shall have the meaning assigned to such term in Section 5.37(a) of this Agreement.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assigned to such term in Section 2.2 of this Agreement.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the date of this Agreement.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shall mean, for the Common Shares as of any date, the last closing trade price for the Common Shares on the Principal Market, as reported by Bloomberg, or, if the Principal Market begins to operate on an extended hours basis and does not designate the closing trade price for the Common Shares, then the last trade price for the Common Shares prior to 4:00 p.m., New York City time, as reported by Bloomberg. All such determinations shall be appropriately adjusted for any stock splits, stock dividends, stock combinations, recapitalizations or other similar transactions during such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have the meaning assigned to such term in Section 5.28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“Commencement” </w:t>
      </w:r>
      <w:r>
        <w:rPr>
          <w:rFonts w:ascii="Times New Roman" w:cs="Times New Roman" w:eastAsia="Times New Roman" w:hAnsi="Times New Roman"/>
          <w:sz w:val="18"/>
          <w:szCs w:val="18"/>
          <w:color w:val="auto"/>
        </w:rPr>
        <w:t>shall have the meaning assigned to such term in the recitals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“Commencement Date” </w:t>
      </w:r>
      <w:r>
        <w:rPr>
          <w:rFonts w:ascii="Times New Roman" w:cs="Times New Roman" w:eastAsia="Times New Roman" w:hAnsi="Times New Roman"/>
          <w:sz w:val="18"/>
          <w:szCs w:val="18"/>
          <w:color w:val="auto"/>
        </w:rPr>
        <w:t>shall have the meaning assigned to such term in Section 3.1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 Irrevocable Transfer Agent Instructions</w:t>
      </w:r>
      <w:r>
        <w:rPr>
          <w:rFonts w:ascii="Times New Roman" w:cs="Times New Roman" w:eastAsia="Times New Roman" w:hAnsi="Times New Roman"/>
          <w:sz w:val="18"/>
          <w:szCs w:val="18"/>
          <w:color w:val="auto"/>
        </w:rPr>
        <w:t>” shall have the meaning assigned to such term in Section 10.1(iii)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U.S. Securities and Exchange Commission or any successor entity.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 Documents</w:t>
      </w:r>
      <w:r>
        <w:rPr>
          <w:rFonts w:ascii="Times New Roman" w:cs="Times New Roman" w:eastAsia="Times New Roman" w:hAnsi="Times New Roman"/>
          <w:sz w:val="18"/>
          <w:szCs w:val="18"/>
          <w:color w:val="auto"/>
        </w:rPr>
        <w:t>” shall mean the Initial Registration Statement (or any post-effective amendment thereto), any New Registration Statement (or any post-effective amendment thereto) and all documents that have been and heretofore shall be incorporated by reference therein, including all reports, schedules, registrations, forms, statements, information and other documents filed with or furnished to the Commission by the Company pursuant to Section 13(a), 13(c), 14 or 15(d) of the Exchange Act if applicable, any Prospectus contained in the Initial Registration Statement or New Registration Statement and each Prospectus Supplement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Shares Equivalents</w:t>
      </w:r>
      <w:r>
        <w:rPr>
          <w:rFonts w:ascii="Times New Roman" w:cs="Times New Roman" w:eastAsia="Times New Roman" w:hAnsi="Times New Roman"/>
          <w:sz w:val="18"/>
          <w:szCs w:val="18"/>
          <w:color w:val="auto"/>
        </w:rPr>
        <w:t>” 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Counsel</w:t>
      </w:r>
      <w:r>
        <w:rPr>
          <w:rFonts w:ascii="Times New Roman" w:cs="Times New Roman" w:eastAsia="Times New Roman" w:hAnsi="Times New Roman"/>
          <w:sz w:val="18"/>
          <w:szCs w:val="18"/>
          <w:color w:val="auto"/>
        </w:rPr>
        <w:t>” shall have the meaning assigned to such term in Section 6.3(ii)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Party</w:t>
      </w:r>
      <w:r>
        <w:rPr>
          <w:rFonts w:ascii="Times New Roman" w:cs="Times New Roman" w:eastAsia="Times New Roman" w:hAnsi="Times New Roman"/>
          <w:sz w:val="18"/>
          <w:szCs w:val="18"/>
          <w:color w:val="auto"/>
        </w:rPr>
        <w:t>” shall have the meaning assigned to such term in Section 9.2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shall have the meaning assigned to such term in Section 7.1(iv)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Data</w:t>
      </w:r>
      <w:r>
        <w:rPr>
          <w:rFonts w:ascii="Times New Roman" w:cs="Times New Roman" w:eastAsia="Times New Roman" w:hAnsi="Times New Roman"/>
          <w:sz w:val="18"/>
          <w:szCs w:val="18"/>
          <w:color w:val="auto"/>
        </w:rPr>
        <w:t>” shall have the meaning assigned to such term in Section 5.37(a) of this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“Current Report” </w:t>
      </w:r>
      <w:r>
        <w:rPr>
          <w:rFonts w:ascii="Times New Roman" w:cs="Times New Roman" w:eastAsia="Times New Roman" w:hAnsi="Times New Roman"/>
          <w:sz w:val="18"/>
          <w:szCs w:val="18"/>
          <w:color w:val="auto"/>
        </w:rPr>
        <w:t>shall have the meaning assigned to such term in Section 2.3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shall mean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shall have the meaning assigned to such term in Section 9.1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“Draw Fee” </w:t>
      </w:r>
      <w:r>
        <w:rPr>
          <w:rFonts w:ascii="Times New Roman" w:cs="Times New Roman" w:eastAsia="Times New Roman" w:hAnsi="Times New Roman"/>
          <w:sz w:val="18"/>
          <w:szCs w:val="18"/>
          <w:color w:val="auto"/>
        </w:rPr>
        <w:t>shall have the meaning assigned to such term in Section 3.2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shall mean The Depository Trust Company, a subsidiary of The Depository Trust &amp; Clearing Corporation, or any successor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shall have the meaning assigned to such term in Section 5.35 of this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 Shares</w:t>
      </w:r>
      <w:r>
        <w:rPr>
          <w:rFonts w:ascii="Times New Roman" w:cs="Times New Roman" w:eastAsia="Times New Roman" w:hAnsi="Times New Roman"/>
          <w:sz w:val="18"/>
          <w:szCs w:val="18"/>
          <w:color w:val="auto"/>
        </w:rPr>
        <w:t>” shall mean Common Shares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Shares being purchased by Investor are maintained specified DWAC account with DTC under its Fast Automated Securities Transfer (FAST) Program, or any similar program hereafter adopted by DTC performing substantially the same function.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with respect to the Initial Registration Statement filed pursuant to this Agreement (or any post-effective amendment thereto) or any New Registration Statement filed pursuant to this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shall have the meaning assigned to such term in Section 5.36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shall have the meaning assigned to such term in Section 5.20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Cap” </w:t>
      </w:r>
      <w:r>
        <w:rPr>
          <w:rFonts w:ascii="Times New Roman" w:cs="Times New Roman" w:eastAsia="Times New Roman" w:hAnsi="Times New Roman"/>
          <w:sz w:val="18"/>
          <w:szCs w:val="18"/>
          <w:color w:val="auto"/>
        </w:rPr>
        <w:t>shall have the meaning assigned to such term in Section 3.3 of this Agreement.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shall mean the United States Food and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shall mean the Financial Industry Regulatory Authority.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shall mean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Common Shares (excluding any Common Shares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or</w:t>
      </w:r>
    </w:p>
    <w:p>
      <w:pPr>
        <w:jc w:val="both"/>
        <w:ind w:firstLine="8"/>
        <w:spacing w:after="0" w:line="255" w:lineRule="auto"/>
        <w:tabs>
          <w:tab w:leader="none" w:pos="2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Shares,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Shares.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shall have the meaning assigned to such term in Section 5.7(b) of this Agreement.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shall have the meaning assigned to such term in Section 5.37(a) of this Agreement.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shall have the meaning assigned to such term in Section 5.20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shall have the meaning assigned to such term in Section 5.37(a)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shall have the meaning assigned to such term in Section 6.3(i)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Period</w:t>
      </w:r>
      <w:r>
        <w:rPr>
          <w:rFonts w:ascii="Times New Roman" w:cs="Times New Roman" w:eastAsia="Times New Roman" w:hAnsi="Times New Roman"/>
          <w:sz w:val="18"/>
          <w:szCs w:val="18"/>
          <w:color w:val="auto"/>
        </w:rPr>
        <w:t>” shall mean the period commencing on the Effective Date of the Initial Registration Statement and expiring on the date this Agreement is terminated pursuant to Article VIII.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shall have the meaning assigned to such term in Section 9.1 of this Agreement.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shall have the meaning assigned to such term in Section 5.37(a) of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shall have the meaning assigned to such term in Section 5.22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shall have the meaning assigned to such term in Section 6.3(iii)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Settlement Amount” </w:t>
      </w:r>
      <w:r>
        <w:rPr>
          <w:rFonts w:ascii="Times New Roman" w:cs="Times New Roman" w:eastAsia="Times New Roman" w:hAnsi="Times New Roman"/>
          <w:sz w:val="18"/>
          <w:szCs w:val="18"/>
          <w:color w:val="auto"/>
        </w:rPr>
        <w:t>shall have the meaning assigned to such term in Section 3.2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shall have the meaning assigned to such term in Section 5.36 of this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Post-Effective Amendment Period</w:t>
      </w:r>
      <w:r>
        <w:rPr>
          <w:rFonts w:ascii="Times New Roman" w:cs="Times New Roman" w:eastAsia="Times New Roman" w:hAnsi="Times New Roman"/>
          <w:sz w:val="18"/>
          <w:szCs w:val="18"/>
          <w:color w:val="auto"/>
        </w:rPr>
        <w:t>” shall mean the period commencing at 9:30 a.m., New York City time, on the fifth (5th) Trading Day immediately prior to the filing of any post-effective amendment to the Initial Registration Statement or any New Registration Statement, and ending at 9:30 a.m., New York City time, on the Trading Day immediately following, the Effective Date of such post-effective amendment.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shall have the meaning assigned to such term in Section 5.19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person or entity, whether a natural person, trustee, corporation, partnership, limited partnership, limited liability company, trust, unincorporated organization, business association, firm, joint venture, governmental agency or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shall have the meaning assigned to such term in Section 5.37(a)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shall have the meaning assigned to such term in Section 5.37(b) of this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shall mean the Nasdaq Capital Market; provided however, that in the event the Company’s Common Shares is ever listed or traded on the New York Stock Exchange, the NYSE American, the Nasdaq Global Select Market, or the Nasdaq Global Market, then the “Principal Market” shall mean such other market or exchange on which the Company’s Common Shares is then listed or traded.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shall have the meaning assigned to such term in Section 5.37(a) of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 the form included in a Registration Statement, as supplemented from time to time by any Prospectus Supplement, including the documents incorporated by reference therein.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shall mean any prospectus supplement to the Prospectus filed with the Commission from time to time pursuant to Rule 424(b) under the Securities Act, including the documents incorporated by reference therein.</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all of (i) the Shares and (ii) any capital stock of the Company issued or issuable with respect to such Shares, including, without limitation, (1) as a result of any stock split, stock dividend, recapitalization, exchange or similar event or otherwise and (2) shares of capital stock of the Company into which the Common Shares are converted or exchanged and shares of capital stock of a successor entity into which the Common Shares are converted or exchanged, in each case until such time as such securities cease to be Registrable Securities.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held by the Company or one of its Subsidiaries; and (iii) the date that is the first (1st) anniversary of the date of termination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Period</w:t>
      </w:r>
      <w:r>
        <w:rPr>
          <w:rFonts w:ascii="Times New Roman" w:cs="Times New Roman" w:eastAsia="Times New Roman" w:hAnsi="Times New Roman"/>
          <w:sz w:val="18"/>
          <w:szCs w:val="18"/>
          <w:color w:val="auto"/>
        </w:rPr>
        <w:t>” shall have the meaning assigned to such term in Section 6.3(vi)(a) of this Agreement.</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shall have the meaning assigned to such term in the recitals of this Agreement.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shall have the meaning assigned to such term in Section 6.8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shall have the meaning assigned to such term in Section 6.8 of this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shall mean Rule 144 promulgated by the Commission pursuant to the Securities Act, as such Rule may be amended from time to time, or any similar rule or regulation hereafter adopted by the Commission having substantially the same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Price</w:t>
      </w:r>
      <w:r>
        <w:rPr>
          <w:rFonts w:ascii="Times New Roman" w:cs="Times New Roman" w:eastAsia="Times New Roman" w:hAnsi="Times New Roman"/>
          <w:sz w:val="18"/>
          <w:szCs w:val="18"/>
          <w:color w:val="auto"/>
        </w:rPr>
        <w:t>” shall mean any trade price for the Common Shares on the Principal Market during normal trading hours, as reported by the Principal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shall have the meaning assigned to such term in Section 5.36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Countries</w:t>
      </w:r>
      <w:r>
        <w:rPr>
          <w:rFonts w:ascii="Times New Roman" w:cs="Times New Roman" w:eastAsia="Times New Roman" w:hAnsi="Times New Roman"/>
          <w:sz w:val="18"/>
          <w:szCs w:val="18"/>
          <w:color w:val="auto"/>
        </w:rPr>
        <w:t>” shall have the meaning assigned to such term in Section 5.36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shall have the meaning assigned to such term in Section 5.7(c)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4(a)(2)</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of the Commission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Cap</w:t>
      </w:r>
      <w:r>
        <w:rPr>
          <w:rFonts w:ascii="Times New Roman" w:cs="Times New Roman" w:eastAsia="Times New Roman" w:hAnsi="Times New Roman"/>
          <w:sz w:val="18"/>
          <w:szCs w:val="18"/>
          <w:color w:val="auto"/>
        </w:rPr>
        <w:t>” shall have the meaning assigned to such term in Section 5.5 of this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Common Shares that are and/or may be purchased by the Investor under this Agreement pursuant to one or more VWAP Purchase Notices.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“short sales” as defined in Rule 200 promulgated under Regulation SHO under the Exchange Act.</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shall have the meaning assigned to such term in Section 6.3(iii) of this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Threshold Price</w:t>
      </w:r>
      <w:r>
        <w:rPr>
          <w:rFonts w:ascii="Times New Roman" w:cs="Times New Roman" w:eastAsia="Times New Roman" w:hAnsi="Times New Roman"/>
          <w:sz w:val="18"/>
          <w:szCs w:val="18"/>
          <w:color w:val="auto"/>
        </w:rPr>
        <w:t>” shall mean with respect to any particular VWAP Purchase Notice, the greater of (i) 90% of the VWAP on the Trading Day immediately preceding the VWAP Purchase Date but not less than $1.00 or (ii) such higher or lower price as set forth by the Company in the VWAP Purchase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Commitment</w:t>
      </w:r>
      <w:r>
        <w:rPr>
          <w:rFonts w:ascii="Times New Roman" w:cs="Times New Roman" w:eastAsia="Times New Roman" w:hAnsi="Times New Roman"/>
          <w:sz w:val="18"/>
          <w:szCs w:val="18"/>
          <w:color w:val="auto"/>
        </w:rPr>
        <w:t>” shall have the meaning assigned to such term in the Recital of this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Principal Market or, if the Common Shares is then listed on an alternative Principal Market, such Principal Market is open for trading (regular way), including any day on which the Principal Market (or such alternative Principal Market, as applicable) is open for trading (regular way) for a period of time less than the customary time.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shall mean, collectively, this Agreement (as qualified by the Commission Documents) and the exhibits hereto and each of the other agreements, documents, certificates and instruments entered into or furnished by the parties hereto in connection with the transactions contemplated hereby and thereby.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shall mean Continental Stock Transfer &amp; Trust Company, LLC, the sole transfer agent and branch registrar of the Company or any successor thereto.</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Variable Rate Transaction</w:t>
      </w:r>
      <w:r>
        <w:rPr>
          <w:rFonts w:ascii="Times New Roman" w:cs="Times New Roman" w:eastAsia="Times New Roman" w:hAnsi="Times New Roman"/>
          <w:sz w:val="18"/>
          <w:szCs w:val="18"/>
          <w:color w:val="auto"/>
        </w:rPr>
        <w:t>” shall mean a transaction in which the Company (i) issues or sells any equity or debt securities that are convertible into, exchangeable or exercisable for, or include the right to receive additional Common Shares or Common Shares Equivalents either (A) at a conversion price, exercise price, exchange rate or other price that is based upon and/or varies with the trading prices of or quotations for the Common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Shares or Common Shares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Shares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w:t>
      </w:r>
    </w:p>
    <w:p>
      <w:pPr>
        <w:spacing w:after="0" w:line="5" w:lineRule="exact"/>
        <w:rPr>
          <w:sz w:val="20"/>
          <w:szCs w:val="20"/>
          <w:color w:val="auto"/>
        </w:rPr>
      </w:pPr>
    </w:p>
    <w:p>
      <w:pPr>
        <w:jc w:val="both"/>
        <w:ind w:firstLine="8"/>
        <w:spacing w:after="0" w:line="255" w:lineRule="auto"/>
        <w:tabs>
          <w:tab w:leader="none" w:pos="3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agreement, including, but not limited to, an “equity line of credit” or “at the market offering” or other continuous offering or similar offering of Common Shares or Common Shares Equivalents, whereby the Company may sell Common Shares or Common Shares Equivalents at a future determined price.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shall mean, for the Common Shares for a specified period, the dollar volume-weighted average price for the Common Shares as reported by Bloomberg through its “AQR” function. All such determinations shall be appropriately adjusted for any stock dividend, stock split, stock combination, recapitalization or other similar transaction during such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“VWAP Purchase” </w:t>
      </w:r>
      <w:r>
        <w:rPr>
          <w:rFonts w:ascii="Times New Roman" w:cs="Times New Roman" w:eastAsia="Times New Roman" w:hAnsi="Times New Roman"/>
          <w:sz w:val="18"/>
          <w:szCs w:val="18"/>
          <w:color w:val="auto"/>
        </w:rPr>
        <w:t>shall have the meaning assigned to such term in Section 3.1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“VWAP Purchase Amount” </w:t>
      </w:r>
      <w:r>
        <w:rPr>
          <w:rFonts w:ascii="Times New Roman" w:cs="Times New Roman" w:eastAsia="Times New Roman" w:hAnsi="Times New Roman"/>
          <w:sz w:val="18"/>
          <w:szCs w:val="18"/>
          <w:color w:val="auto"/>
        </w:rPr>
        <w:t>shall have the meaning assigned to such term in Section 3.2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Condition Satisfaction Time</w:t>
      </w:r>
      <w:r>
        <w:rPr>
          <w:rFonts w:ascii="Times New Roman" w:cs="Times New Roman" w:eastAsia="Times New Roman" w:hAnsi="Times New Roman"/>
          <w:sz w:val="18"/>
          <w:szCs w:val="18"/>
          <w:color w:val="auto"/>
        </w:rPr>
        <w:t>” shall have the meaning assigned to such term in Section 7.2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“VWAP Purchase Confirmation” </w:t>
      </w:r>
      <w:r>
        <w:rPr>
          <w:rFonts w:ascii="Times New Roman" w:cs="Times New Roman" w:eastAsia="Times New Roman" w:hAnsi="Times New Roman"/>
          <w:sz w:val="18"/>
          <w:szCs w:val="18"/>
          <w:color w:val="auto"/>
        </w:rPr>
        <w:t>shall have the meaning assigned to such term in Section 3.1 of this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Commencement Time</w:t>
      </w:r>
      <w:r>
        <w:rPr>
          <w:rFonts w:ascii="Times New Roman" w:cs="Times New Roman" w:eastAsia="Times New Roman" w:hAnsi="Times New Roman"/>
          <w:sz w:val="18"/>
          <w:szCs w:val="18"/>
          <w:color w:val="auto"/>
        </w:rPr>
        <w:t xml:space="preserve">” shall mean, with respect to a VWAP Purchase made pursuant to Section 3.1, 9:30:01 a.m., New York City time, on the applicable VWAP Purchase Date, or such later time on such VWAP Purchase Date publicly announced by the Principal Market (or, if the Common Shares is then listed on an Principal Market, by such Principal Market) as the official open (or commencement) of trading (regular way) on the Principal Market (or such Principal Market, as applicable) on such VWAP Purchase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VWAP Purchase Notice is delivered after 9:30 a.m., New York City time, on a VWAP Purchase Date, then the VWAP Purchase Commencement Time shall start only upon receipt by the Company of written confirmation (which may be by email) of acceptance by the Investor, and which confirmation shall specify the VWAP Purchase Commencement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Date</w:t>
      </w:r>
      <w:r>
        <w:rPr>
          <w:rFonts w:ascii="Times New Roman" w:cs="Times New Roman" w:eastAsia="Times New Roman" w:hAnsi="Times New Roman"/>
          <w:sz w:val="18"/>
          <w:szCs w:val="18"/>
          <w:color w:val="auto"/>
        </w:rPr>
        <w:t>” shall mean, with respect to a VWAP Purchase made pursuant to Section 3.1, the Trading Day on which the Investor receives, on such Trading Day, a valid VWAP Purchase Notice for such VWAP Purchase in accordance with this Agreement.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Maximum Share Percentage</w:t>
      </w:r>
      <w:r>
        <w:rPr>
          <w:rFonts w:ascii="Times New Roman" w:cs="Times New Roman" w:eastAsia="Times New Roman" w:hAnsi="Times New Roman"/>
          <w:sz w:val="18"/>
          <w:szCs w:val="18"/>
          <w:color w:val="auto"/>
        </w:rPr>
        <w:t>” shall mean fifteen percent (15%), unless mutually agreed in writing (which may be by email) between the Company and Investor prior to delivery of a VWAP Purchase Notice in respect of such VWAP Purchase.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Notice</w:t>
      </w:r>
      <w:r>
        <w:rPr>
          <w:rFonts w:ascii="Times New Roman" w:cs="Times New Roman" w:eastAsia="Times New Roman" w:hAnsi="Times New Roman"/>
          <w:sz w:val="18"/>
          <w:szCs w:val="18"/>
          <w:color w:val="auto"/>
        </w:rPr>
        <w:t xml:space="preserve">” shall mean, with respect to a VWAP Purchase made pursuant to Section 3.1, an irrevocable written notice delivered by the Company to the Investor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Period</w:t>
      </w:r>
      <w:r>
        <w:rPr>
          <w:rFonts w:ascii="Times New Roman" w:cs="Times New Roman" w:eastAsia="Times New Roman" w:hAnsi="Times New Roman"/>
          <w:sz w:val="18"/>
          <w:szCs w:val="18"/>
          <w:color w:val="auto"/>
        </w:rPr>
        <w:t>” shall mean, with respect to a VWAP Purchase made pursuant to Section 3.1, the period on the applicable VWAP Purchase Date for such VWAP Purchase beginning at the applicable VWAP Purchase Commencement Time and ending at the applicable VWAP Purchase Termination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w:t>
      </w:r>
      <w:r>
        <w:rPr>
          <w:rFonts w:ascii="Times New Roman" w:cs="Times New Roman" w:eastAsia="Times New Roman" w:hAnsi="Times New Roman"/>
          <w:sz w:val="18"/>
          <w:szCs w:val="18"/>
          <w:color w:val="auto"/>
        </w:rPr>
        <w:t>” shall mean the purchase price per Share to be purchased by the Investor in such VWAP Purchase equal to ninety-three percent (93%) of the lowest daily VWAP during the three (3) consecutive Trading Days consisting of the applicable VWAP Purchase Date and the two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Trading Days immediately preceding such VWAP Purchase Date.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Amount</w:t>
      </w:r>
      <w:r>
        <w:rPr>
          <w:rFonts w:ascii="Times New Roman" w:cs="Times New Roman" w:eastAsia="Times New Roman" w:hAnsi="Times New Roman"/>
          <w:sz w:val="18"/>
          <w:szCs w:val="18"/>
          <w:color w:val="auto"/>
        </w:rPr>
        <w:t>” shall mean, with respect to a VWAP Purchase made pursuant to Section 3.1, a number of Common Shares equal to the least of (i) a number of Common Shares which, when aggregated with all other Common Shares then beneficially owned by the Investor and its affiliates (as calculated pursuant to Section 13(d) of the Exchange Act and Rule 13d-3 promulgated thereunder), would result in the beneficial ownership by the Investor of more than the Beneficial Ownership Limitation; and (ii) the VWAP Purchase Share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Delivery Date</w:t>
      </w:r>
      <w:r>
        <w:rPr>
          <w:rFonts w:ascii="Times New Roman" w:cs="Times New Roman" w:eastAsia="Times New Roman" w:hAnsi="Times New Roman"/>
          <w:sz w:val="18"/>
          <w:szCs w:val="18"/>
          <w:color w:val="auto"/>
        </w:rPr>
        <w:t>” shall have the meaning assigned to such term in Section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of this Agreement.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Estimate</w:t>
      </w:r>
      <w:r>
        <w:rPr>
          <w:rFonts w:ascii="Times New Roman" w:cs="Times New Roman" w:eastAsia="Times New Roman" w:hAnsi="Times New Roman"/>
          <w:sz w:val="18"/>
          <w:szCs w:val="18"/>
          <w:color w:val="auto"/>
        </w:rPr>
        <w:t>” shall mean the number of Common Shares set forth in any VWAP Purchase Notice, representing the Company’s good faith estimate of the number of Common Shares equivalent to the VWAP Purchase Share Request during the VWAP Purchase Period on any VWAP Purchase Date.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Request</w:t>
      </w:r>
      <w:r>
        <w:rPr>
          <w:rFonts w:ascii="Times New Roman" w:cs="Times New Roman" w:eastAsia="Times New Roman" w:hAnsi="Times New Roman"/>
          <w:sz w:val="18"/>
          <w:szCs w:val="18"/>
          <w:color w:val="auto"/>
        </w:rPr>
        <w:t>” shall mean the number of Common Shares equal to (i) the total volume of Common Shares as reported by Bloomberg through its “AQR” function during the applicable VWAP Purchase Period (provided that in the case where the Sale Price falls below the Threshold Price at any time on a VWAP Purchase Date, this volume shall be calculated using the aggregate shares as reported by Bloomberg through its “AQR” function for such portion of the VWAP Purchase Date that the Sale Price is not below the Threshold Price) multiplied by (ii) the lesser of (A) the VWAP Purchase Share Request Percentage and (B) the VWAP Purchase Maximum Share Percentage.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Request Percentage</w:t>
      </w:r>
      <w:r>
        <w:rPr>
          <w:rFonts w:ascii="Times New Roman" w:cs="Times New Roman" w:eastAsia="Times New Roman" w:hAnsi="Times New Roman"/>
          <w:sz w:val="18"/>
          <w:szCs w:val="18"/>
          <w:color w:val="auto"/>
        </w:rPr>
        <w:t>” shall mean the percentage set forth in any VWAP Purchase Notice.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Termination Time</w:t>
      </w:r>
      <w:r>
        <w:rPr>
          <w:rFonts w:ascii="Times New Roman" w:cs="Times New Roman" w:eastAsia="Times New Roman" w:hAnsi="Times New Roman"/>
          <w:sz w:val="18"/>
          <w:szCs w:val="18"/>
          <w:color w:val="auto"/>
        </w:rPr>
        <w:t>” shall mean, with respect to a VWAP Purchase made pursuant to Section 3.1, 4:00 p.m., New York City time, on the applicable VWAP Purchase Date, or such earlier time publicly announced by the Principal Market (or, if the Common Shares is then listed on an Principal Market, by such Principal Market) as the official close of trading (regular way) on the Principal Market on such applicable VWAP Purchase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VWAP PURCHASE NOTICE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Common Shares Purchase Agreement, dated as of June 10, 2026 (the “Agreement”), between AIxCrypto Holdings, Inc. (the “Company”) and Gold King Arthur Holding Limited (the “Investor”). Capitalized terms used but not defined herein have the meanings given in the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3.1 of the Agreement, the Company hereby delivers this VWAP Purchase Notice and directs the Investor to purchase Common Shares in the following VWAP Purchase:</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Purchase Date: [●]</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Purchase Share Request Percentage: [●]%</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Price for this VWAP Purchase (optional; if specified, the Threshold Price for this VWAP Purchase will be the greater of this price and the Threshold Price otherwise determined under the Agreement): $[●]</w:t>
      </w: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VWAP Purchase Share Amount (optional; a cap on the number of Shares to be purchased in this VWAP Purchase): [●]</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VWAP Purchase Share Amount, the VWAP Purchase Price, the VWAP Purchase Amount, the Draw Fee and the Net Settlement Amount shall be determined in accordance with the Agreement. The Company shall issue the applicable DWAC Shares, and the Investor shall pay the Net Settlement Amount, in accordance with Sections 3.1 and 3.2 of the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certifies that, as of the date hereof and as of the applicable VWAP Purchase Condition Satisfaction Time: (i) each condition in Section 7.2 of the Agreement is satisfied; (ii) the Company’s representations and warranties in the Agreement are true and correct in all material respects (or, if qualified by materiality or Material Adverse Effect, in all respects); (iii) the Company is not in possession of any material, non-public information concerning the Company that it is required to, but has not, publicly disclosed; and (iv) no Material Adverse Effect has occurred and is continuing.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FURNISHED BY THE INVESTOR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the only written information furnished to the Company by or on behalf of the Investor expressly for use in any Registration Statement, Prospectus or Prospectus Supplement, as contemplated by Section 9.1 of the Agreement:</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name of the Investor: Gold King Arthur Holding Limited.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Common Shares beneficially owned by the Investor prior to the offering: [●].</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any position, office or other material relationship the Investor has had with the Company or its affiliates within the past three years: None, other than as Investor under the Agreement.</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and contact information: as set forth in Section 10.4 of the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the duly authorized [Chief Executive Officer / Chief Financial Officer] of AIxCrypto Holdings, Inc. (the “Company”), pursuant to the Common Shares Purchase Agreement, dated as of June 10, 2026 (the “Agreement”), between the Company and Gold King Arthur Holding Limited, hereby certifies, solely in such capacity and not individually, as of the date hereof, that:</w:t>
      </w:r>
    </w:p>
    <w:p>
      <w:pPr>
        <w:spacing w:after="0" w:line="176" w:lineRule="exact"/>
        <w:rPr>
          <w:sz w:val="20"/>
          <w:szCs w:val="20"/>
          <w:color w:val="auto"/>
        </w:rPr>
      </w:pPr>
    </w:p>
    <w:p>
      <w:pPr>
        <w:jc w:val="both"/>
        <w:ind w:left="660" w:hanging="328"/>
        <w:spacing w:after="0" w:line="257"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representations and warranties in the Agreement are true and correct (i) where not qualified by materiality or Material Adverse Effect, in all material respects, and (ii) where so qualified, in all respects, in each case as of the date hereof (except to the extent expressly made as of an earlier date, in which case as of that date).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satisfied and complied in all material respects with all covenants, agreements and conditions required to be performed, satisfied or complied with by it under the Agreement at or prior to the date hereof.</w:t>
      </w: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constituting a Material Adverse Effect has occurred and is continuing.</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possession of any material, non-public information concerning the Company that it is required to, but has not, publicly disclosed.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given in the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2"/>
    </w:lvl>
  </w:abstractNum>
  <w:abstractNum w:abstractNumId="2">
    <w:nsid w:val="2901D82"/>
    <w:multiLevelType w:val="hybridMultilevel"/>
    <w:lvl w:ilvl="0">
      <w:lvlJc w:val="left"/>
      <w:lvlText w:val="(%1)"/>
      <w:numFmt w:val="lowerRoman"/>
      <w:start w:val="3"/>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2"/>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2"/>
    </w:lvl>
  </w:abstractNum>
  <w:abstractNum w:abstractNumId="7">
    <w:nsid w:val="737B8DDC"/>
    <w:multiLevelType w:val="hybridMultilevel"/>
    <w:lvl w:ilvl="0">
      <w:lvlJc w:val="left"/>
      <w:lvlText w:val="%1"/>
      <w:numFmt w:val="lowerLetter"/>
      <w:start w:val="1"/>
    </w:lvl>
    <w:lvl w:ilvl="1">
      <w:lvlJc w:val="left"/>
      <w:lvlText w:val="(%2)"/>
      <w:numFmt w:val="lowerLetter"/>
      <w:start w:val="4"/>
    </w:lvl>
  </w:abstractNum>
  <w:abstractNum w:abstractNumId="8">
    <w:nsid w:val="6CEAF087"/>
    <w:multiLevelType w:val="hybridMultilevel"/>
    <w:lvl w:ilvl="0">
      <w:lvlJc w:val="left"/>
      <w:lvlText w:val="(%1)"/>
      <w:numFmt w:val="lowerLetter"/>
      <w:start w:val="35"/>
    </w:lvl>
    <w:lvl w:ilvl="1">
      <w:lvlJc w:val="left"/>
      <w:lvlText w:val="%2"/>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1"/>
      <w:numFmt w:val="upperLetter"/>
      <w:start w:val="1"/>
    </w:lvl>
    <w:lvl w:ilvl="1">
      <w:lvlJc w:val="left"/>
      <w:lvlText w:val="(%2)"/>
      <w:numFmt w:val="lowerLetter"/>
      <w:start w:val="1"/>
    </w:lvl>
  </w:abstractNum>
  <w:abstractNum w:abstractNumId="12">
    <w:nsid w:val="614FD4A1"/>
    <w:multiLevelType w:val="hybridMultilevel"/>
    <w:lvl w:ilvl="0">
      <w:lvlJc w:val="left"/>
      <w:lvlText w:val="(%1)"/>
      <w:numFmt w:val="upperLetter"/>
      <w:start w:val="4"/>
    </w:lvl>
    <w:lvl w:ilvl="1">
      <w:lvlJc w:val="left"/>
      <w:lvlText w:val="%2"/>
      <w:numFmt w:val="lowerLetter"/>
      <w:start w:val="1"/>
    </w:lvl>
  </w:abstractNum>
  <w:abstractNum w:abstractNumId="13">
    <w:nsid w:val="419AC241"/>
    <w:multiLevelType w:val="hybridMultilevel"/>
    <w:lvl w:ilvl="0">
      <w:lvlJc w:val="left"/>
      <w:lvlText w:val="(%1)"/>
      <w:numFmt w:val="lowerLetter"/>
      <w:start w:val="2"/>
    </w:lvl>
  </w:abstractNum>
  <w:abstractNum w:abstractNumId="14">
    <w:nsid w:val="5577F8E1"/>
    <w:multiLevelType w:val="hybridMultilevel"/>
    <w:lvl w:ilvl="0">
      <w:lvlJc w:val="left"/>
      <w:lvlText w:val="(%1)"/>
      <w:numFmt w:val="lowerRoman"/>
      <w:start w:val="1"/>
    </w:lvl>
  </w:abstractNum>
  <w:abstractNum w:abstractNumId="15">
    <w:nsid w:val="440BADFC"/>
    <w:multiLevelType w:val="hybridMultilevel"/>
    <w:lvl w:ilvl="0">
      <w:lvlJc w:val="left"/>
      <w:lvlText w:val="(%1)"/>
      <w:numFmt w:val="lowerRoman"/>
      <w:start w:val="2"/>
    </w:lvl>
  </w:abstractNum>
  <w:abstractNum w:abstractNumId="16">
    <w:nsid w:val="5072367"/>
    <w:multiLevelType w:val="hybridMultilevel"/>
    <w:lvl w:ilvl="0">
      <w:lvlJc w:val="left"/>
      <w:lvlText w:val="(%1)"/>
      <w:numFmt w:val="lowerRoman"/>
      <w:start w:val="6"/>
    </w:lvl>
    <w:lvl w:ilvl="1">
      <w:lvlJc w:val="left"/>
      <w:lvlText w:val="(%2)"/>
      <w:numFmt w:val="lowerLetter"/>
      <w:start w:val="1"/>
    </w:lvl>
  </w:abstractNum>
  <w:abstractNum w:abstractNumId="17">
    <w:nsid w:val="3804823E"/>
    <w:multiLevelType w:val="hybridMultilevel"/>
    <w:lvl w:ilvl="0">
      <w:lvlJc w:val="left"/>
      <w:lvlText w:val="(%1)"/>
      <w:numFmt w:val="lowerLetter"/>
      <w:start w:val="2"/>
    </w:lvl>
  </w:abstractNum>
  <w:abstractNum w:abstractNumId="18">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9">
    <w:nsid w:val="7724C67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0">
    <w:nsid w:val="5C482A97"/>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1"/>
    </w:lvl>
  </w:abstractNum>
  <w:abstractNum w:abstractNumId="21">
    <w:nsid w:val="2463B9EA"/>
    <w:multiLevelType w:val="hybridMultilevel"/>
    <w:lvl w:ilvl="0">
      <w:lvlJc w:val="left"/>
      <w:lvlText w:val="(%1)"/>
      <w:numFmt w:val="lowerLetter"/>
      <w:start w:val="5"/>
    </w:lvl>
  </w:abstractNum>
  <w:abstractNum w:abstractNumId="22">
    <w:nsid w:val="5E884ADC"/>
    <w:multiLevelType w:val="hybridMultilevel"/>
    <w:lvl w:ilvl="0">
      <w:lvlJc w:val="left"/>
      <w:lvlText w:val="(%1)"/>
      <w:numFmt w:val="lowerLetter"/>
      <w:start w:val="7"/>
    </w:lvl>
  </w:abstractNum>
  <w:abstractNum w:abstractNumId="23">
    <w:nsid w:val="51EAD36B"/>
    <w:multiLevelType w:val="hybridMultilevel"/>
    <w:lvl w:ilvl="0">
      <w:lvlJc w:val="left"/>
      <w:lvlText w:val="(%1)"/>
      <w:numFmt w:val="lowerLetter"/>
      <w:start w:val="10"/>
    </w:lvl>
  </w:abstractNum>
  <w:abstractNum w:abstractNumId="24">
    <w:nsid w:val="2D517796"/>
    <w:multiLevelType w:val="hybridMultilevel"/>
    <w:lvl w:ilvl="0">
      <w:lvlJc w:val="left"/>
      <w:lvlText w:val="(%1)"/>
      <w:numFmt w:val="lowerRoman"/>
      <w:start w:val="7"/>
    </w:lvl>
    <w:lvl w:ilvl="1">
      <w:lvlJc w:val="left"/>
      <w:lvlText w:val="(%2)"/>
      <w:numFmt w:val="lowerLetter"/>
      <w:start w:val="1"/>
    </w:lvl>
  </w:abstractNum>
  <w:abstractNum w:abstractNumId="25">
    <w:nsid w:val="580BD78F"/>
    <w:multiLevelType w:val="hybridMultilevel"/>
    <w:lvl w:ilvl="0">
      <w:lvlJc w:val="left"/>
      <w:lvlText w:val="(%1)"/>
      <w:numFmt w:val="lowerRoman"/>
      <w:start w:val="10"/>
    </w:lvl>
  </w:abstractNum>
  <w:abstractNum w:abstractNumId="26">
    <w:nsid w:val="153EA438"/>
    <w:multiLevelType w:val="hybridMultilevel"/>
    <w:lvl w:ilvl="0">
      <w:lvlJc w:val="left"/>
      <w:lvlText w:val="(%1)"/>
      <w:numFmt w:val="lowerRoman"/>
      <w:start w:val="1"/>
    </w:lvl>
  </w:abstractNum>
  <w:abstractNum w:abstractNumId="27">
    <w:nsid w:val="3855585C"/>
    <w:multiLevelType w:val="hybridMultilevel"/>
    <w:lvl w:ilvl="0">
      <w:lvlJc w:val="left"/>
      <w:lvlText w:val="(%1)"/>
      <w:numFmt w:val="lowerRoman"/>
      <w:start w:val="1"/>
    </w:lvl>
  </w:abstractNum>
  <w:abstractNum w:abstractNumId="28">
    <w:nsid w:val="70A64E2A"/>
    <w:multiLevelType w:val="hybridMultilevel"/>
    <w:lvl w:ilvl="0">
      <w:lvlJc w:val="left"/>
      <w:lvlText w:val="(%1)"/>
      <w:numFmt w:val="lowerRoman"/>
      <w:start w:val="1"/>
    </w:lvl>
  </w:abstractNum>
  <w:abstractNum w:abstractNumId="29">
    <w:nsid w:val="6A2342EC"/>
    <w:multiLevelType w:val="hybridMultilevel"/>
    <w:lvl w:ilvl="0">
      <w:lvlJc w:val="left"/>
      <w:lvlText w:val="(%1)"/>
      <w:numFmt w:val="lowerRoman"/>
      <w:start w:val="1"/>
    </w:lvl>
  </w:abstractNum>
  <w:abstractNum w:abstractNumId="30">
    <w:nsid w:val="2A487CB0"/>
    <w:multiLevelType w:val="hybridMultilevel"/>
    <w:lvl w:ilvl="0">
      <w:lvlJc w:val="left"/>
      <w:lvlText w:val="(%1)"/>
      <w:numFmt w:val="lowerRoman"/>
      <w:start w:val="2"/>
    </w:lvl>
  </w:abstractNum>
  <w:abstractNum w:abstractNumId="31">
    <w:nsid w:val="1D4ED43B"/>
    <w:multiLevelType w:val="hybridMultilevel"/>
    <w:lvl w:ilvl="0">
      <w:lvlJc w:val="left"/>
      <w:lvlText w:val="(%1)"/>
      <w:numFmt w:val="lowerRoman"/>
      <w:start w:val="1"/>
    </w:lvl>
  </w:abstractNum>
  <w:abstractNum w:abstractNumId="32">
    <w:nsid w:val="725A06FB"/>
    <w:multiLevelType w:val="hybridMultilevel"/>
    <w:lvl w:ilvl="0">
      <w:lvlJc w:val="left"/>
      <w:lvlText w:val="(%1)"/>
      <w:numFmt w:val="lowerRoman"/>
      <w:start w:val="2"/>
    </w:lvl>
  </w:abstractNum>
  <w:abstractNum w:abstractNumId="33">
    <w:nsid w:val="2CD89A32"/>
    <w:multiLevelType w:val="hybridMultilevel"/>
    <w:lvl w:ilvl="0">
      <w:lvlJc w:val="left"/>
      <w:lvlText w:val="(%1)"/>
      <w:numFmt w:val="lowerRoman"/>
      <w:start w:val="1"/>
    </w:lvl>
  </w:abstractNum>
  <w:abstractNum w:abstractNumId="34">
    <w:nsid w:val="57E4CCAF"/>
    <w:multiLevelType w:val="hybridMultilevel"/>
    <w:lvl w:ilvl="0">
      <w:lvlJc w:val="left"/>
      <w:lvlText w:val="(%1)"/>
      <w:numFmt w:val="lowerRoman"/>
      <w:start w:val="2"/>
    </w:lvl>
  </w:abstractNum>
  <w:abstractNum w:abstractNumId="35">
    <w:nsid w:val="7A6D8D3C"/>
    <w:multiLevelType w:val="hybridMultilevel"/>
    <w:lvl w:ilvl="0">
      <w:lvlJc w:val="left"/>
      <w:lvlText w:val="(%1)"/>
      <w:numFmt w:val="lowerRoman"/>
      <w:start w:val="6"/>
    </w:lvl>
  </w:abstractNum>
  <w:abstractNum w:abstractNumId="36">
    <w:nsid w:val="4B588F54"/>
    <w:multiLevelType w:val="hybridMultilevel"/>
    <w:lvl w:ilvl="0">
      <w:lvlJc w:val="left"/>
      <w:lvlText w:val="%1"/>
      <w:numFmt w:val="upperLetter"/>
      <w:start w:val="1"/>
    </w:lvl>
    <w:lvl w:ilvl="1">
      <w:lvlJc w:val="left"/>
      <w:lvlText w:val="(%2)"/>
      <w:numFmt w:val="lowerRoman"/>
      <w:start w:val="10"/>
    </w:lvl>
  </w:abstractNum>
  <w:abstractNum w:abstractNumId="37">
    <w:nsid w:val="542289EC"/>
    <w:multiLevelType w:val="hybridMultilevel"/>
    <w:lvl w:ilvl="0">
      <w:lvlJc w:val="left"/>
      <w:lvlText w:val="(%1)"/>
      <w:numFmt w:val="upperLetter"/>
      <w:start w:val="35"/>
    </w:lvl>
    <w:lvl w:ilvl="1">
      <w:lvlJc w:val="left"/>
      <w:lvlText w:val="(%2)"/>
      <w:numFmt w:val="lowerRoman"/>
      <w:start w:val="13"/>
    </w:lvl>
  </w:abstractNum>
  <w:abstractNum w:abstractNumId="38">
    <w:nsid w:val="6DE91B18"/>
    <w:multiLevelType w:val="hybridMultilevel"/>
    <w:lvl w:ilvl="0">
      <w:lvlJc w:val="left"/>
      <w:lvlText w:val="(%1)"/>
      <w:numFmt w:val="lowerRoman"/>
      <w:start w:val="17"/>
    </w:lvl>
  </w:abstractNum>
  <w:abstractNum w:abstractNumId="39">
    <w:nsid w:val="38437FDB"/>
    <w:multiLevelType w:val="hybridMultilevel"/>
    <w:lvl w:ilvl="0">
      <w:lvlJc w:val="left"/>
      <w:lvlText w:val="(%1)"/>
      <w:numFmt w:val="lowerRoman"/>
      <w:start w:val="1"/>
    </w:lvl>
  </w:abstractNum>
  <w:abstractNum w:abstractNumId="40">
    <w:nsid w:val="7644A45C"/>
    <w:multiLevelType w:val="hybridMultilevel"/>
    <w:lvl w:ilvl="0">
      <w:lvlJc w:val="left"/>
      <w:lvlText w:val="(%1)"/>
      <w:numFmt w:val="lowerRoman"/>
      <w:start w:val="2"/>
    </w:lvl>
  </w:abstractNum>
  <w:abstractNum w:abstractNumId="41">
    <w:nsid w:val="32FFF902"/>
    <w:multiLevelType w:val="hybridMultilevel"/>
    <w:lvl w:ilvl="0">
      <w:lvlJc w:val="left"/>
      <w:lvlText w:val="(%1)"/>
      <w:numFmt w:val="lowerRoman"/>
      <w:start w:val="3"/>
    </w:lvl>
  </w:abstractNum>
  <w:abstractNum w:abstractNumId="42">
    <w:nsid w:val="684A481A"/>
    <w:multiLevelType w:val="hybridMultilevel"/>
    <w:lvl w:ilvl="0">
      <w:lvlJc w:val="left"/>
      <w:lvlText w:val="(%1)"/>
      <w:numFmt w:val="lowerRoman"/>
      <w:start w:val="6"/>
    </w:lvl>
  </w:abstractNum>
  <w:abstractNum w:abstractNumId="43">
    <w:nsid w:val="579478FE"/>
    <w:multiLevelType w:val="hybridMultilevel"/>
    <w:lvl w:ilvl="0">
      <w:lvlJc w:val="left"/>
      <w:lvlText w:val="(%1)"/>
      <w:numFmt w:val="lowerRoman"/>
      <w:start w:val="8"/>
    </w:lvl>
  </w:abstractNum>
  <w:abstractNum w:abstractNumId="44">
    <w:nsid w:val="749ABB43"/>
    <w:multiLevelType w:val="hybridMultilevel"/>
    <w:lvl w:ilvl="0">
      <w:lvlJc w:val="left"/>
      <w:lvlText w:val="(%1)"/>
      <w:numFmt w:val="lowerLetter"/>
      <w:start w:val="4"/>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2"/>
    </w:lvl>
  </w:abstractNum>
  <w:abstractNum w:abstractNumId="47">
    <w:nsid w:val="79A1DEAA"/>
    <w:multiLevelType w:val="hybridMultilevel"/>
    <w:lvl w:ilvl="0">
      <w:lvlJc w:val="left"/>
      <w:lvlText w:val="(%1)"/>
      <w:numFmt w:val="lowerRoman"/>
      <w:start w:val="1"/>
    </w:lvl>
  </w:abstractNum>
  <w:abstractNum w:abstractNumId="48">
    <w:nsid w:val="75C6C33A"/>
    <w:multiLevelType w:val="hybridMultilevel"/>
    <w:lvl w:ilvl="0">
      <w:lvlJc w:val="left"/>
      <w:lvlText w:val="%1"/>
      <w:numFmt w:val="upperLetter"/>
      <w:start w:val="1"/>
    </w:lvl>
    <w:lvl w:ilvl="1">
      <w:lvlJc w:val="left"/>
      <w:lvlText w:val="(%2)"/>
      <w:numFmt w:val="lowerRoman"/>
      <w:start w:val="1"/>
    </w:lvl>
  </w:abstractNum>
  <w:abstractNum w:abstractNumId="49">
    <w:nsid w:val="12E685FB"/>
    <w:multiLevelType w:val="hybridMultilevel"/>
    <w:lvl w:ilvl="0">
      <w:lvlJc w:val="left"/>
      <w:lvlText w:val="(%1)"/>
      <w:numFmt w:val="upperLetter"/>
      <w:start w:val="2"/>
    </w:lvl>
    <w:lvl w:ilvl="1">
      <w:lvlJc w:val="left"/>
      <w:lvlText w:val="%2"/>
      <w:numFmt w:val="lowerRoman"/>
      <w:start w:val="1"/>
    </w:lvl>
  </w:abstractNum>
  <w:abstractNum w:abstractNumId="50">
    <w:nsid w:val="70C6A529"/>
    <w:multiLevelType w:val="hybridMultilevel"/>
    <w:lvl w:ilvl="0">
      <w:lvlJc w:val="left"/>
      <w:lvlText w:val="(%1)"/>
      <w:numFmt w:val="decimal"/>
      <w:start w:val="5"/>
    </w:lvl>
  </w:abstractNum>
  <w:abstractNum w:abstractNumId="51">
    <w:nsid w:val="520EEDD1"/>
    <w:multiLevelType w:val="hybridMultilevel"/>
    <w:lvl w:ilvl="0">
      <w:lvlJc w:val="left"/>
      <w:lvlText w:val="(%1)"/>
      <w:numFmt w:val="lowerRoman"/>
      <w:start w:val="3"/>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2026-06-17T15:35:50Z</dcterms:created>
  <dcterms:modified xsi:type="dcterms:W3CDTF">2026-06-17T15:35:50Z</dcterms:modified>
</cp:coreProperties>
</file>