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7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July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729"/>
            <w:bookmarkEnd w:id="6"/>
            <w:r>
              <w:rPr>
                <w:rFonts w:ascii="Times New Roman;Times;Serif" w:hAnsi="Times New Roman;Times;Serif"/>
                <w:b/>
                <w:i w:val="false"/>
                <w:caps w:val="false"/>
                <w:smallCaps w:val="false"/>
                <w:sz w:val="20"/>
              </w:rPr>
              <w:t>001-37428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26-3474527</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1990 E. Grand Ave.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El Segundo, </w:t>
            </w:r>
            <w:bookmarkStart w:id="10" w:name="xdx_904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7_edei--EntityAddressPostalZipCode"/>
            <w:bookmarkEnd w:id="11"/>
            <w:r>
              <w:rPr>
                <w:rFonts w:ascii="Times New Roman;Times;Serif" w:hAnsi="Times New Roman;Times;Serif"/>
                <w:b/>
                <w:i w:val="false"/>
                <w:caps w:val="false"/>
                <w:smallCaps w:val="false"/>
                <w:sz w:val="20"/>
              </w:rPr>
              <w:t>90245</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4_edei--CityAreaCode_c20260729__20"/>
      <w:bookmarkEnd w:id="12"/>
      <w:r>
        <w:rPr>
          <w:rFonts w:ascii="Times New Roman;Times;Serif" w:hAnsi="Times New Roman;Times;Serif"/>
          <w:b/>
          <w:i w:val="false"/>
          <w:caps w:val="false"/>
          <w:smallCaps w:val="false"/>
          <w:sz w:val="20"/>
        </w:rPr>
        <w:t xml:space="preserve">(760) </w:t>
      </w:r>
      <w:bookmarkStart w:id="13" w:name="xdx_90F_edei--LocalPhoneNumber_c20260729"/>
      <w:bookmarkEnd w:id="13"/>
      <w:r>
        <w:rPr>
          <w:rFonts w:ascii="Times New Roman;Times;Serif" w:hAnsi="Times New Roman;Times;Serif"/>
          <w:b/>
          <w:i w:val="false"/>
          <w:caps w:val="false"/>
          <w:smallCaps w:val="false"/>
          <w:sz w:val="20"/>
        </w:rPr>
        <w:t>452-8111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D_edei--EntityAddressAddressLine1_"/>
      <w:bookmarkEnd w:id="14"/>
      <w:r>
        <w:rPr>
          <w:rFonts w:ascii="Times New Roman;Times;Serif" w:hAnsi="Times New Roman;Times;Serif"/>
          <w:b/>
          <w:i w:val="false"/>
          <w:caps w:val="false"/>
          <w:smallCaps w:val="false"/>
          <w:sz w:val="20"/>
        </w:rPr>
        <w:t xml:space="preserve">5857 Owens Avenue, </w:t>
      </w:r>
      <w:bookmarkStart w:id="15" w:name="xdx_90F_edei--EntityAddressAddressLine2_"/>
      <w:bookmarkEnd w:id="15"/>
      <w:r>
        <w:rPr>
          <w:rFonts w:ascii="Times New Roman;Times;Serif" w:hAnsi="Times New Roman;Times;Serif"/>
          <w:b/>
          <w:i w:val="false"/>
          <w:caps w:val="false"/>
          <w:smallCaps w:val="false"/>
          <w:sz w:val="20"/>
        </w:rPr>
        <w:t>Suite 300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8_edei--EntityAddressCityOrTown_c2"/>
      <w:bookmarkEnd w:id="16"/>
      <w:r>
        <w:rPr>
          <w:rFonts w:ascii="Times New Roman;Times;Serif" w:hAnsi="Times New Roman;Times;Serif"/>
          <w:b/>
          <w:i w:val="false"/>
          <w:caps w:val="false"/>
          <w:smallCaps w:val="false"/>
          <w:sz w:val="20"/>
        </w:rPr>
        <w:t xml:space="preserve">Carlsbad, </w:t>
      </w:r>
      <w:bookmarkStart w:id="17" w:name="xdx_906_edei--EntityAddressStateOrProvin"/>
      <w:bookmarkEnd w:id="17"/>
      <w:r>
        <w:rPr>
          <w:rFonts w:ascii="Times New Roman;Times;Serif" w:hAnsi="Times New Roman;Times;Serif"/>
          <w:b/>
          <w:i w:val="false"/>
          <w:caps w:val="false"/>
          <w:smallCaps w:val="false"/>
          <w:sz w:val="20"/>
        </w:rPr>
        <w:t xml:space="preserve">California </w:t>
      </w:r>
      <w:bookmarkStart w:id="18" w:name="xdx_90B_edei--EntityAddressPostalZipCode"/>
      <w:bookmarkEnd w:id="18"/>
      <w:r>
        <w:rPr>
          <w:rFonts w:ascii="Times New Roman;Times;Serif" w:hAnsi="Times New Roman;Times;Serif"/>
          <w:b/>
          <w:i w:val="false"/>
          <w:caps w:val="false"/>
          <w:smallCaps w:val="false"/>
          <w:sz w:val="20"/>
        </w:rPr>
        <w:t>92008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9" w:name="xdx_90D_edei--WrittenCommunications_c202"/>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5_edei--SolicitingMaterial_c202607"/>
            <w:bookmarkEnd w:id="20"/>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1" w:name="xdx_901_edei--PreCommencementTenderOffer"/>
            <w:bookmarkEnd w:id="21"/>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2" w:name="xdx_90E_edei--PreCommencementIssuerTende"/>
            <w:bookmarkEnd w:id="22"/>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F_edei--Security12bTitle_c20260729"/>
            <w:bookmarkEnd w:id="23"/>
            <w:r>
              <w:rPr>
                <w:rFonts w:ascii="Times New Roman;Times;Serif" w:hAnsi="Times New Roman;Times;Serif"/>
                <w:b w:val="false"/>
                <w:i w:val="false"/>
                <w:caps w:val="false"/>
                <w:smallCaps w:val="false"/>
                <w:sz w:val="20"/>
              </w:rPr>
              <w:t>Common Stock, par value $0.001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3_edei--TradingSymbol_c20260729__2"/>
            <w:bookmarkEnd w:id="24"/>
            <w:r>
              <w:rPr>
                <w:rFonts w:ascii="Times New Roman;Times;Serif" w:hAnsi="Times New Roman;Times;Serif"/>
                <w:b w:val="false"/>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B_edei--SecurityExchangeName_c2026"/>
            <w:bookmarkEnd w:id="25"/>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6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AIxCrypto Holdings, Inc. (the “Company”), a Delaware corporation, entered into a Consulting Agreement (the “Agreement”) with Aibot US Operation Inc (“Aibot” or the “Consultant”), a Delaware corporation located at 21515 Hawthorne Blvd, Ste 420, Torrance, California 90503. The Agreement is effective as of July 16, 2026 (the “Effective Date”) and continues through July 15, 2027, unless extended by mutual written consent of the parties or terminated earlier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Aibot will provide a consulting service team of four personnel to support the Company’s business operations, including finance (two personnel), capital markets (one personnel), and human resources/legal coordination (one personnel). The consulting team is generally required to provide onsite support five business days per week, except that one finance team member will operate on a hybrid schedule, which is reflected in a 20% fee discount for that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Aibot a monthly consulting fee of $50,000, payable in semi-monthly installments upon receipt of invoices submitted on the 15th and last day of each month. Payment is due within 15 business days of the Company’s receipt of each invoice. In addition, the Company will reimburse Aibot for reasonable, documented out-of-pocket expenses incurred in connection with the services, subject to a $500 per month cap unless prior written approval is obtained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Agreement upon not less than 15 days’ prior written notice. The non-breaching party may also terminate the Agreement on 24 hours’ notice in the event of a material breach by the other party. In addition, the Company may terminate the Agreement immediately upon a breach by Aibot of the confidentiality or non-solicitation provisions contained therein, and the Agreement may be terminated at any time by mutual written consent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Aibot US Operation Inc is minority owned by Jerry Wang, who serves as the Company’s Chief Executive Officer and as a member of its Board of Directors. Mr. Wang also serves on Aibot’s board of directors. As a result, the Agreement constitutes a related party transaction. The entry into the Agreement was reviewed and approved by the disinterested members of the Company’s Board of Directors and the Audit Committee of the Board of Directors, who determined that the terms of the Agreement are fair and reasonable to the Company and on terms no less favorable than could be obtained from an unaffiliated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Agreement is filed as Exhibit 10.1 to this Current Report on Form 8-K and is incorporated herein by reference. The foregoing description of the Agreement does not purport to be complete and is qualified in its entirety by reference to the full text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and may implicate, forward-looking statements regarding the Company, and includes cautionary statements identifying important factors that could cause actual results to differ materially from those anticipated. Such forward-looking statements are made pursuant to the safe-harbor provisions of the Private Securities Litigation Reform Act of 1995. Words such as “may,” “might,” “will,” “shall,” “should,” “expects,” “plans,” “anticipates,” “could,” “intends,” “targets,” “projects,” “contemplates,” “believes,” “estimates,” “predicts,” “potential,” “goal,” “objective,” “seeks,” “likely,” or “continue,” or the negative of these terms or other similar expressions, are intended to identify forward-looking statements, although not all forward-looking statements contain these identifying words. These forward-looking statements are based on the Company’s current expectations and assumptions regarding its business, the economy, and other future conditions as of the date of this Current Report on Form 8-K. Because forward-looking statements relate to the future, they are subject to inherent uncertainties, risks, and changes in circumstances that are difficult to predict. The Company’s actual results may differ materially from those contemplated by the forward-looking statements as a result of factors described in the Company’s filings with the U.S. Securities and Exchange Commission, including the Company’s Annual Report on Form 10-K for the year ended December 31, 2025, and subsequent filings. The Company undertakes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28" w:type="dxa"/>
          <w:right w:w="0" w:type="dxa"/>
        </w:tblCellMar>
      </w:tblPr>
      <w:tblGrid>
        <w:gridCol w:w="995"/>
        <w:gridCol w:w="60"/>
        <w:gridCol w:w="878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780" w:type="dxa"/>
            <w:tcBorders/>
            <w:shd w:fill="CCEE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Consulting Agreement, dated July 29, 2026, between AIxCrypto Holdings, Inc. and Aibot US Operation Inc.</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625"/>
        <w:gridCol w:w="575"/>
        <w:gridCol w:w="300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7" w:name="ex10-1.htm"/>
      <w:bookmarkStart w:id="28" w:name="ksex101"/>
      <w:bookmarkEnd w:id="27"/>
      <w:bookmarkEnd w:id="2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AIxCrypto Holdings, Inc.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Consulting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Consulting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made this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 is entered into by AIxCrypto Holdings, Inc., a Delaware corporation with its principal place of business at 1990 E. Grand Avenue, El Segundo, California 90245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Aibot US Operation Inc, a Delaware corporation with its principal place of business at 21515 Hawthorne Blvd, Ste 420, Torrance, California 90503 (the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retain the services of the Consultant and the Consultant desires to perform certain services for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Consultant is in the business of providing such services and has agreed to provide such services pursuant to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promises contained herein and other good and valuable consideration, the receipt and sufficiency of which is hereby acknowledged by the parties hereto,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Services</w:t>
      </w:r>
      <w:r>
        <w:rPr>
          <w:rFonts w:ascii="Times New Roman;Times;Serif" w:hAnsi="Times New Roman;Times;Serif"/>
          <w:b w:val="false"/>
          <w:i w:val="false"/>
          <w:caps w:val="false"/>
          <w:smallCaps w:val="false"/>
          <w:sz w:val="20"/>
        </w:rPr>
        <w:t xml:space="preserve">. The Consultant agrees to perform such consulting, advisory and related services to and for the Company as may be reasonably requested from time to time by the Company, including, but not limited to, the services specified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term of this Agreement shall commence on July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 and shall continue until July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2027, unless extended by mutual written consent of the parties hereto or terminated earlier pursuant to the provisions of Section 4 (such period, as it may be extended or sooner terminated, being referred to as the “</w:t>
      </w:r>
      <w:r>
        <w:rPr>
          <w:rFonts w:ascii="Times New Roman;Times;Serif" w:hAnsi="Times New Roman;Times;Serif"/>
          <w:b/>
          <w:i w:val="false"/>
          <w:caps w:val="false"/>
          <w:smallCaps w:val="false"/>
          <w:sz w:val="20"/>
        </w:rPr>
        <w:t>Consultation Period</w:t>
      </w:r>
      <w:r>
        <w:rPr>
          <w:rFonts w:ascii="Times New Roman;Times;Serif" w:hAnsi="Times New Roman;Times;Serif"/>
          <w:b w:val="false"/>
          <w:i w:val="false"/>
          <w:caps w:val="false"/>
          <w:smallCaps w:val="false"/>
          <w:sz w:val="20"/>
        </w:rPr>
        <w:t>”).</w:t>
      </w:r>
    </w:p>
    <w:p>
      <w:pPr>
        <w:pStyle w:val="TextBody"/>
        <w:bidi w:val="0"/>
        <w:spacing w:before="0" w:after="0"/>
        <w:ind w:left="143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Consulting Fees</w:t>
      </w:r>
      <w:r>
        <w:rPr>
          <w:rFonts w:ascii="Times New Roman;Times;Serif" w:hAnsi="Times New Roman;Times;Serif"/>
          <w:b w:val="false"/>
          <w:i w:val="false"/>
          <w:caps w:val="false"/>
          <w:smallCaps w:val="false"/>
          <w:sz w:val="20"/>
        </w:rPr>
        <w:t>. The Company shall pay the Consultant a consulting fee equal to $50,000 per month. The Consultant shall submit semi-monthly invoices to the Company, in a form reasonably satisfactory to the Company, on the 15th day and the last day of each month for services performed in the applicable period, each of which shall cover one-half of the monthly fee, prorated for any partial period, and shall describe the services performed and the outputs delivered during that period. The Company shall pay each properly submitted invoice within fifteen (15) business days after receipt thereof, less any amounts attributable to services or outputs not performed or delivered in accordance with Schedule A or Section 8.2, as identified by the Company to the Consultant by electronic mail. The Company may apply any such amount against that invoice or any subsequent amount payable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Reimbursement of Expenses</w:t>
      </w:r>
      <w:r>
        <w:rPr>
          <w:rFonts w:ascii="Times New Roman;Times;Serif" w:hAnsi="Times New Roman;Times;Serif"/>
          <w:b w:val="false"/>
          <w:i w:val="false"/>
          <w:caps w:val="false"/>
          <w:smallCaps w:val="false"/>
          <w:sz w:val="20"/>
        </w:rPr>
        <w:t>. The Company shall reimburse the Consultant for reasonable, documented, out-of-pocket expenses actually incurred by the Consultant in connection with the performance of the services under this Agreement, provided that such expenses are submitted to the Company with reasonable supporting documentation and otherwise comply with the Company’s applicable expense reimbursement policies and procedures. The Company shall reimburse such approved expenses within a reasonable period following receipt of the applicable documentation. Notwithstanding the foregoing, the Consultant shall not incur total expenses in excess of $500.00 per month without the prior written approval of the Company.</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Benefits</w:t>
      </w:r>
      <w:r>
        <w:rPr>
          <w:rFonts w:ascii="Times New Roman;Times;Serif" w:hAnsi="Times New Roman;Times;Serif"/>
          <w:b w:val="false"/>
          <w:i w:val="false"/>
          <w:caps w:val="false"/>
          <w:smallCaps w:val="false"/>
          <w:sz w:val="20"/>
        </w:rPr>
        <w:t>. The Consultant shall not be entitled to any benefits, coverages or privileges, including, without limitation, health insurance, social security, unemployment, medical or pension payments, made available to employees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prior to July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2027 in the following manner: (a) by either the Company or the Consultant upon not less than fifteen (15) days prior written notice to the other party; (b) by the non-breaching party, upon twenty-four (24) hours prior written notice to the breaching party if one party has materially breached this Agreement; or (c) at any time upon the mutual written consent of the parties hereto. In the event of termination, the Consultant shall be entitled to payment for services performed prior to the effective date of termination that have not been previously paid. Such payment shall constitute full settlement of any and all claims of the Consultant of every description against the Company. Notwithstanding the foregoing, the Company may terminate this Agreement effective immediately by giving written notice to the Consultant if the Consultant breaches or threatens to breach any provision of Sections 6 or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The Consultant shall use Consultant’s best efforts in the performance of Consultant’s obligations under this Agreement. The Company shall provide such access to its information and property as may be reasonably required in order to permit the Consultant to perform Consultant’s obligations hereunder. The Consultant shall cooperate with the Company’s personnel, shall not interfere with the conduct of the Company’s business and shall observe all rules, regulations and security requirements of the Company concerning the safety of persons and property.</w:t>
      </w:r>
    </w:p>
    <w:p>
      <w:pPr>
        <w:pStyle w:val="TextBody"/>
        <w:bidi w:val="0"/>
        <w:spacing w:before="0" w:after="0"/>
        <w:ind w:left="1439"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Proprietary Information and Inventions</w:t>
      </w:r>
      <w:r>
        <w:rPr>
          <w:rFonts w:ascii="Times New Roman;Times;Serif" w:hAnsi="Times New Roman;Times;Serif"/>
          <w:b w:val="false"/>
          <w:i w:val="false"/>
          <w:caps w:val="false"/>
          <w:smallCaps w:val="false"/>
          <w:sz w:val="20"/>
        </w:rPr>
        <w:t>.</w:t>
      </w:r>
    </w:p>
    <w:p>
      <w:pPr>
        <w:pStyle w:val="TextBody"/>
        <w:bidi w:val="0"/>
        <w:spacing w:before="0" w:after="0"/>
        <w:ind w:left="2160" w:right="0" w:hanging="71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Proprietary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Consultant acknowledges that Consultant’s relationship with the Company is one of high trust and confidence and that in the course of Consultant’s service to the Company, Consultant will have access to and contact with Proprietary Information. The Consultant will not disclose any Proprietary Information to any person or entity other than employees of the Company or use the same for any purposes (other than in the performance of the services) without written approval by an officer of the Company, either during or after the Consultation Period, unless and until such Proprietary Information has become public knowledge without fault by the Consultant.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Agreement, Proprietary Information shall mean, by way of illustration and not limitation, all information, whether or not in writing, whether or not patentable and whether or not copyrightable, of a private, secret or confidential nature, owned, possessed or used by the Company, concerning the Company’s business, business relationships or financial affairs, including, without limitation, any Invention, formula, vendor information, customer information, apparatus, equipment, trade secret, process, research, report, technical or research data, clinical data, know-how, computer program, software, software documentation, hardware design, technology, product, processes, methods, techniques, formulas, compounds, projects, developments, marketing or business plan, forecast, unpublished financial statement, budget, license, price, cost, customer, supplier or personnel information or employee list that is communicated to, learned of, developed or otherwise acquired by the Consultant in the course of Consultant’s service as a consultant to the Company.</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Consultant’s obligations under this Section 6.1 shall not apply to any information that (i) is or becomes known to the general public under circumstances involving no breach by the Consultant or others of the terms of this Section 6.1, (ii) is generally disclosed to third parties by the Company without restriction on such third parties, or (iii) is approved for release by written authorization of an officer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Consultant agrees that all files, documents, letters, memoranda, reports, records, data sketches, drawings, models, laboratory notebooks, program listings, computer equipment or devices, computer programs or other written, photographic, or other tangible material containing Proprietary Information, whether created by the Consultant or others, which shall come into Consultant’s custody or possession, shall be and are the exclusive property of the Company to be used by the Consultant only in the performance of Consultant’s duties for the Company and shall not be copied or removed from the Company premises except in the pursuit of the business of the Company or as expressly permitted under Schedule A. All such materials or copies thereof and all tangible property of the Company in the custody or possession of the Consultant shall be delivered to the Company, upon the earlier of (i) a request by the Company or (ii) the termination of this Agreement. After such delivery, the Consultant shall not retain any such materials or copies thereof or any such tangible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Consultant agrees that Consultant’s obligation not to disclose or to use information and materials of the types set forth in paragraphs (b) and (d) above, and Consultant’s obligation to return materials and tangible property set forth in paragraph (d) above extends to such types of information, materials and tangible property of customers of the Company or suppliers to the Company or other third parties who may have disclosed or entrusted the same to the Company or to the Consultant.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Consultant acknowledges that the Company from time to time may have agreements with other persons or with the United States Government, or agencies thereof, that impose obligations or restrictions on the Company regarding inventions made during the course of work under such agreements or regarding the confidential nature of such work. The Consultant agrees to be bound by all such obligations and restrictions that are known to Consultant and to take all action necessary to discharge the obligations of the Company under such agreements.</w:t>
      </w:r>
    </w:p>
    <w:p>
      <w:pPr>
        <w:pStyle w:val="TextBody"/>
        <w:bidi w:val="0"/>
        <w:spacing w:before="0" w:after="0"/>
        <w:ind w:left="0" w:right="0" w:firstLine="21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Consultant’s obligations under this Section 6.1 shall not apply to any information that (i) is or becomes known to the general public under circumstances involving no breach by the Consultant or others of the terms of this Section 6.1, (ii) is generally disclosed to third parties by the Company without restriction on such third parties, or (iii) is approved for release by written authorization of an officer of the Company. Further, nothing herein prohibits the Consultant from communicating with government agencies about possible violations of federal, state, or local laws or otherwise providing information to government agencies or participating in government agency investigations or proceedings. In addition, notwithstanding the Consultant’s confidentiality and nondisclosure obligations, the Consultant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before="0" w:after="0"/>
        <w:ind w:left="2160" w:right="0" w:hanging="71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Inventions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Consultant will make full and prompt disclosure to the Company of all discoveries, ideas, inventions, improvements, enhancements, processes, methods, techniques, developments, software, and works of authorship, whether patentable or not, which are created, made, conceived or reduced to practice by the Consultant or under the Consultant’s direction or jointly with others, either (i) during the Consultation Period or (ii) after the Consultation Period if resulting or directly derived from Proprietary Information, whether or not during normal working hours or on the premises of the Company (all of which are collectively referred to in this Agreement as “</w:t>
      </w:r>
      <w:r>
        <w:rPr>
          <w:rFonts w:ascii="Times New Roman;Times;Serif" w:hAnsi="Times New Roman;Times;Serif"/>
          <w:b/>
          <w:i w:val="false"/>
          <w:caps w:val="false"/>
          <w:smallCaps w:val="false"/>
          <w:sz w:val="20"/>
        </w:rPr>
        <w:t>Inventions</w:t>
      </w:r>
      <w:r>
        <w:rPr>
          <w:rFonts w:ascii="Times New Roman;Times;Serif" w:hAnsi="Times New Roman;Times;Serif"/>
          <w:b w:val="false"/>
          <w:i w:val="false"/>
          <w:caps w:val="false"/>
          <w:smallCaps w:val="false"/>
          <w:sz w:val="20"/>
        </w:rPr>
        <w:t>”). The Consultant acknowledges and affirms that all such Inventions shall be the sole property of the Company. The Consultant further acknowledges that each original work of authorship which is made by the Consultant (solely or jointly with others) within the scope of and during the period of the Consultation Period and which is protectable by copyright is a “work made for hire,” as that term is defined in the United States Copyright Act. The Consultant agrees to assign and does hereby assign to the Company (or any person or entity designated by the Company) all of the Consultant’s right, title and interest in and to all Inventions and all related patents, patent applications, copyrights created in the work(s) of authorship, trademarks, trade names, and other industrial and intellectual property rights and applications therefor in the United States and elsewhere. However, this paragraph shall not apply to Inventions which do not relate to the business or research and development conducted or planned to be conducted by the Company at the time such Invention is created, made, conceived or reduced to practice and which are made and conceived by the Consultant not during normal working hours, not on the Company’s premises and not using the Company’s tools, devices, equipment or Proprietary Information. The Consultant understands that, to the extent this Agreement shall be construed in accordance with the laws of any state which precludes a requirement in an agreement to assign certain classes of inventions made by a Consultant, this paragraph shall be interpreted not to apply to any invention which a court rules and/or the Company agrees falls within such classes. The Consultant also hereby waives all claims to moral rights in any Inventions.</w:t>
      </w:r>
    </w:p>
    <w:p>
      <w:pPr>
        <w:pStyle w:val="TextBody"/>
        <w:bidi w:val="0"/>
        <w:spacing w:before="0" w:after="0"/>
        <w:ind w:left="0" w:right="0" w:firstLine="21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Consultant agrees that if, in the course of performing the services, the Consultant incorporates into any Invention developed under this Agreement any preexisting invention, improvement, development, concept, discovery or other proprietary information owned by the Consultant or in which the Consultant has an interest (“</w:t>
      </w:r>
      <w:r>
        <w:rPr>
          <w:rFonts w:ascii="Times New Roman;Times;Serif" w:hAnsi="Times New Roman;Times;Serif"/>
          <w:b/>
          <w:i w:val="false"/>
          <w:caps w:val="false"/>
          <w:smallCaps w:val="false"/>
          <w:sz w:val="20"/>
        </w:rPr>
        <w:t>Prior Inventions</w:t>
      </w:r>
      <w:r>
        <w:rPr>
          <w:rFonts w:ascii="Times New Roman;Times;Serif" w:hAnsi="Times New Roman;Times;Serif"/>
          <w:b w:val="false"/>
          <w:i w:val="false"/>
          <w:caps w:val="false"/>
          <w:smallCaps w:val="false"/>
          <w:sz w:val="20"/>
        </w:rPr>
        <w:t>”), (i) the Consultant will inform the Company, in writing before incorporating such Prior Inventions into any Invention, and (ii) the Company is hereby granted a nonexclusive, royalty-free, perpetual, irrevocable, transferable worldwide license with the right to grant and authorize sublicenses, to make, have made, modify,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The Consultant will not incorporate any invention, improvement, development, concept, discovery or other proprietary information owned by any third party into any Invention without the Company’s prior written permission.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Consultant agrees to cooperate fully with the Company, both during and after the Consultation Period, with respect to the procurement, maintenance, and enforcement of copyrights, patents and other intellectual property rights (both in the United States and foreign countries) relating to Inventions. The Consultant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Invention. The Consultant further agrees that if the Company is unable, after reasonable effort, to secure the signature of the Consultant on any such papers, any executive officer of the Company shall be entitled to execute any such papers as the agent and the attorney-in-fact of the Consultant, and the Consultant hereby irrevocably designates and appoints each executive officer of the Company as the Consultant’s agent and attorney-in-fact to execute any such papers on the Consultant’s behalf, and to take any and all actions as the Company may deem necessary or desirable in order to protect its rights and interests in any Invention, under the conditions described in this sentence.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Consultant shall maintain adequate and current written records (in the form of notes, sketches, drawings and as may be specified by the Company) to document the conception and/or first actual reduction to practice of any Invention. Such written records shall be available to and remain the sole property of the Company at all times.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 xml:space="preserve"> During the Consultation Period and for a period of six (6) months thereafter, the Consultant shall not, either alone or in association with others, (i) solicit, or permit any organization directly or indirectly controlled by the Consultant to solicit, any employee of the Company to leave the employ of the Company; (ii) solicit for employment, hire or engage as an independent contractor, or permit any organization directly or indirectly controlled by the Consultant to solicit for employment, hire or engage as an independent contractor, any person who is employed or engaged by the Company; and/or (iii) solicit, divert or take away, the business or patronage of any of the clients, customers or accounts or prospective clients, customers or accounts, of the Company that were contacted, solicited or served by the Consultant on behalf of the Company during the term of the Consultant’s engagement with the Company.</w:t>
      </w:r>
    </w:p>
    <w:p>
      <w:pPr>
        <w:pStyle w:val="TextBody"/>
        <w:bidi w:val="0"/>
        <w:spacing w:before="0" w:after="0"/>
        <w:ind w:left="1439" w:right="0" w:hanging="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Other Agreements; Warranty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The Consultant hereby represents that, except as the Consultant has disclosed in writing to the Company, the Consultant is not bound by the terms of any agreement with any third party to refrain from using or disclosing any trade secret or confidential or proprietary information in the course of Consultant’s consultancy with the Company, to refrain from competing, directly or indirectly, with the business of such third party or to refrain from soliciting employees, customers or suppliers of such third party. The Consultant further represents that Consultant’s performance of all the terms of this Agreement and the performance of the services as a consultant of the Company do not and will not breach any agreement with any third party to which the Consultant is a party (including, without limitation, any nondisclosure or non-competition agreement), and that the Consultant will not disclose to the Company or induce the Company to use any confidential or proprietary information or material belonging to any current or previous employer or others.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The Consultant hereby represents, warrants and covenants that Consultant has the skills and experience necessary to perform the services, that Consultant will perform said services in a professional, competent and timely manner, that Consultant has the power to enter into this Agreement and that Consultant’s performance hereunder will not infringe upon or violate the rights of any third party or violate any federal, state or municipal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Independent Contractor Status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The Consultant shall perform all services under this Agreement as an “independent contractor” and not as an employee or agent of the Company. The Consultant is not authorized to assume or create any obligation or responsibility, express or implied, on behalf of, or in the name of, the Company or to bind the Company in any manner.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The Consultant shall have the right to control and determine the methods, manner and means of performing the Services and shall be responsible for selecting, assigning, scheduling, and supervising the personnel who perform them. The parties have agreed that the Services will be performed in substantial part on-site at the Company’s designated location(s), as described in Schedule A. The Company’s designation of a work location and of general availability during its normal business days does not entitle the Company to direct the individual hours or day-to-day activities of the Consultant’s personnel, who at all times remain under the Consultant’s supervision. The Consultant will provide the tools and equipment its personnel ordinarily require to perform the Services, other than the Company premises, systems, and information reasonably necessary for on-site work, access to which the Company may provide.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In the performance of the services, the Consultant has the authority to control and direct the performance of the details of the services, the Company being interested only in the results obtained. However, the services contemplated by the Agreement must meet the Company’s standards and approval and shall be subject to the Company’s general right of inspection and supervision to secure their satisfactory completion.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The Consultant shall not use the Company’s trade names, trademarks, service names or service marks without the prior approval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The Consultant shall be solely responsible for all state and federal income taxes, unemployment insurance and social security taxes in connection with this Agreement and for maintaining adequate workers’ compensation insurance coverage.</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No Employment Relationship; No Joint Employment. The Consultant’s personnel are and shall remain employees, contractors, or representatives solely of the Consultant.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Sole Responsibility for Personnel. The Consultant shall be solely responsible for all wages, salaries, benefits, payroll and employment taxes, workers’ compensation coverage, and compliance with all applicable employment, immigration, and labor laws with respect to its personnel.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Non-Exclusivity</w:t>
      </w:r>
      <w:r>
        <w:rPr>
          <w:rFonts w:ascii="Times New Roman;Times;Serif" w:hAnsi="Times New Roman;Times;Serif"/>
          <w:b w:val="false"/>
          <w:i w:val="false"/>
          <w:caps w:val="false"/>
          <w:smallCaps w:val="false"/>
          <w:sz w:val="20"/>
        </w:rPr>
        <w:t>. The Consultant retains the right to contract with other companies or entities for Consultant’s consulting services without restriction. The Company retains a right to contract with other companies and/or individuals for consulting services without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Consultant acknowledges that any breach of the provisions of Section 6 of this Agreement shall result in serious and irreparable injury to the Company for which the Company cannot be adequately compensated by monetary damages alone. The Consultant agrees, therefore, that, in addition to any other remedy the Company may have, the Company shall be entitled to enforce the specific performance of this Agreement by the Consultant and to seek both temporary and permanent injunctive relief (to the extent permitted by law) without the necessity of proving actual damages or posting a bond.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Consultant shall be solely liable for, and shall indemnify, defend and hold harmless the Company and its successors and assigns from any claims, suits, judgments or causes of action initiated by any third party against the Company where such actions result from or arise out of the services performed by the Consultant under this Agreement. The Consultant shall further be solely liable for, and shall indemnify, defend and hold harmless the Company and its successors and assigns from and against any claim or liability of any kind (including penalties, fees or charges) resulting from the Consultant’s failure to pay the taxes, penalties, and payments referenced in Section 9 of this Agreement. The Consultant shall further indemnify, defend and hold harmless the Company and its successors and assigns from and against any and all loss or damage resulting from any misrepresentation, or any non-fulfillment of any representation, responsibility, covenant or agreement on Consultant’s part, as well as any and all acts, suits, proceedings, demands, assessments, penalties, judgments of or against the Company relating to or arising out of the activities of the Consultant and the Consultant shall pay reasonable attorneys’ fees, costs and expenses incident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required or permitted under this Agreement shall be in writing and shall be deemed effective upon personal delivery or upon deposit in the United States Post Office, by registered or certified mail, postage prepaid, addressed to the other party at the address shown above, or at such other address or addresses as either party shall designate to the other in accordance with this Section 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Pronouns</w:t>
      </w:r>
      <w:r>
        <w:rPr>
          <w:rFonts w:ascii="Times New Roman;Times;Serif" w:hAnsi="Times New Roman;Times;Serif"/>
          <w:b w:val="false"/>
          <w:i w:val="false"/>
          <w:caps w:val="false"/>
          <w:smallCaps w:val="false"/>
          <w:sz w:val="20"/>
        </w:rPr>
        <w:t>. Whenever the context may require, any pronouns used in this Agreement shall include the corresponding masculine, feminine or neuter forms, and the singular forms of nouns and pronouns shall include the plural, and vice versa.</w:t>
      </w:r>
    </w:p>
    <w:p>
      <w:pPr>
        <w:pStyle w:val="TextBody"/>
        <w:bidi w:val="0"/>
        <w:spacing w:before="0" w:after="0"/>
        <w:ind w:left="1439" w:right="0" w:hanging="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between the parties and supersedes all prior agreements and understandings, whether written or oral, relating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be amended or modified only by a written instrument executed by both the Company and the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Non-Assignability of Contract</w:t>
      </w:r>
      <w:r>
        <w:rPr>
          <w:rFonts w:ascii="Times New Roman;Times;Serif" w:hAnsi="Times New Roman;Times;Serif"/>
          <w:b w:val="false"/>
          <w:i w:val="false"/>
          <w:caps w:val="false"/>
          <w:smallCaps w:val="false"/>
          <w:sz w:val="20"/>
        </w:rPr>
        <w:t>. This Agreement is personal to the Consultant and the Consultant shall not have the right to assign any of Consultant’s rights or delegate any of Consultant’s duties without the express written consent of the Company. Any non-consented-to assignment or delegation, whether express or implied or by operation of law, shall be void and shall constitute a breach and a default by the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California without giving effect to any choice or conflict of law provision or rule that would cause the application of laws of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Consultant are personal and shall not be assigned by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If any restriction set forth in Section 6 or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Sections 3.1 and 4 through 22 shall survive the expiration or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1439" w:right="0" w:hanging="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The captions of the sections of this Agreement are for convenience of reference only and in no way define, limit or affect the scope or substance of any section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In the event that any provision of this Agreement shall be invalid, illegal or otherwise unenforceable, the validity, legality and enforceability of the remaining provisions shall in no way be affected or impaired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6"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66"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Consulting Agreement as of the date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2824" w:type="dxa"/>
        <w:jc w:val="left"/>
        <w:tblInd w:w="0" w:type="dxa"/>
        <w:tblLayout w:type="fixed"/>
        <w:tblCellMar>
          <w:top w:w="0" w:type="dxa"/>
          <w:left w:w="0" w:type="dxa"/>
          <w:bottom w:w="0" w:type="dxa"/>
          <w:right w:w="0" w:type="dxa"/>
        </w:tblCellMar>
      </w:tblPr>
      <w:tblGrid>
        <w:gridCol w:w="75"/>
        <w:gridCol w:w="888"/>
        <w:gridCol w:w="186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caps w:val="false"/>
                <w:smallCaps w:val="false"/>
              </w:rPr>
            </w:pPr>
            <w:r>
              <w:rPr>
                <w:caps w:val="false"/>
                <w:smallCaps w:val="false"/>
              </w:rPr>
              <w:t> </w:t>
            </w:r>
          </w:p>
        </w:tc>
        <w:tc>
          <w:tcPr>
            <w:tcW w:w="18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caps w:val="false"/>
                <w:smallCaps w:val="false"/>
              </w:rPr>
            </w:pPr>
            <w:r>
              <w:rPr>
                <w:caps w:val="false"/>
                <w:smallCaps w:val="false"/>
              </w:rPr>
              <w:t> </w:t>
            </w:r>
          </w:p>
        </w:tc>
        <w:tc>
          <w:tcPr>
            <w:tcW w:w="18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6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Jary Sheng</w:t>
            </w:r>
          </w:p>
        </w:tc>
      </w:tr>
      <w:tr>
        <w:trPr/>
        <w:tc>
          <w:tcPr>
            <w:tcW w:w="7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Sheng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caps w:val="false"/>
                <w:smallCaps w:val="false"/>
              </w:rPr>
            </w:pPr>
            <w:r>
              <w:rPr>
                <w:caps w:val="false"/>
                <w:smallCaps w:val="false"/>
              </w:rPr>
              <w:t> </w:t>
            </w:r>
          </w:p>
        </w:tc>
        <w:tc>
          <w:tcPr>
            <w:tcW w:w="18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Aibot US Operation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caps w:val="false"/>
                <w:smallCaps w:val="false"/>
              </w:rPr>
            </w:pPr>
            <w:r>
              <w:rPr>
                <w:caps w:val="false"/>
                <w:smallCaps w:val="false"/>
              </w:rPr>
              <w:t> </w:t>
            </w:r>
          </w:p>
        </w:tc>
        <w:tc>
          <w:tcPr>
            <w:tcW w:w="18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6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Ruokun Jia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Ruokun Jia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CONSULTING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Description of Services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Consultant shall provide a consulting service team consisting of four (4) personnel to support the Company’s business operations, finance, capital markets, human resources, legal coordination. The service team is expected to include two (2) finance personnel, one (1) capital markets personnel, and one (1) human resources/legal coordination personnel. The Consultant shall be responsible for selecting, assigning, supervising, managing, compensating, and, as applicable, replacing such personnel, and such personnel shall remain employees, contractors, or representatives of the Consultant and shall not be deemed employees, agents, or representatives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below, the personnel comprising the consulting service team shall provide onsite support five (5) business days per week at the Company’s designated location and maintain availability during the Company’s normal business hours, subject to holidays, approved leave, reasonable business needs, and coordination between the parties.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(1) finance personnel shall provide support on a hybrid schedule consisting of two (2) business days per week onsite at the Company’s designated location and three (3) business days per week remotely, subject to reasonable business needs and coordination between the parties. Any change to this arrangement shall be effective only upon a written amendment executed by both parties, which shall address any corresponding adjustment to the fee. The parties acknowledge and agree that the monthly consulting fee set forth in Section 3.1 already reflects a twenty percent (20%) discount attributable to such hybrid work arrangement.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5589</Words>
  <Characters>31028</Characters>
  <CharactersWithSpaces>36647</CharactersWithSpaces>
  <Paragraphs>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