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2_edei--DocumentAnnualReport_c2025"/>
            <w:bookmarkEnd w:id="3"/>
            <w:r>
              <w:rPr>
                <w:caps w:val="false"/>
                <w:smallCaps w:val="false"/>
              </w:rPr>
              <w:t>☒</w:t>
            </w:r>
          </w:p>
        </w:tc>
        <w:tc>
          <w:tcPr>
            <w:tcW w:w="94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7_edei--CurrentFiscalYearEndDate_c"/>
      <w:bookmarkStart w:id="5" w:name="xdx_90C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7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7" w:name="xdx_90B_edei--DocumentTransitionReport_c"/>
            <w:bookmarkEnd w:id="7"/>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No. </w:t>
      </w:r>
      <w:bookmarkStart w:id="8" w:name="xdx_90C_edei--EntityFileNumber_c20250101"/>
      <w:bookmarkEnd w:id="8"/>
      <w:r>
        <w:rPr>
          <w:rFonts w:ascii="Times New Roman;Times;Serif" w:hAnsi="Times New Roman;Times;Serif"/>
          <w:b/>
          <w:i w:val="false"/>
          <w:caps w:val="false"/>
          <w:smallCaps w:val="false"/>
          <w:sz w:val="20"/>
        </w:rPr>
        <w:t>001-37428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1_edei--EntityRegistrantName_c2025"/>
      <w:bookmarkEnd w:id="9"/>
      <w:r>
        <w:rPr>
          <w:rFonts w:ascii="Times New Roman;Times;Serif" w:hAnsi="Times New Roman;Times;Serif"/>
          <w:b/>
          <w:i w:val="false"/>
          <w:caps w:val="false"/>
          <w:smallCaps w:val="false"/>
          <w:sz w:val="36"/>
          <w:u w:val="single"/>
        </w:rPr>
        <w:t>AIxCrypto Holdings, Inc.</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Small Business Issuer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3_edei--EntityTaxIdentificationNum"/>
            <w:bookmarkEnd w:id="11"/>
            <w:r>
              <w:rPr>
                <w:rFonts w:ascii="Times New Roman;Times;Serif" w:hAnsi="Times New Roman;Times;Serif"/>
                <w:b/>
                <w:i w:val="false"/>
                <w:caps w:val="false"/>
                <w:smallCaps w:val="false"/>
                <w:sz w:val="20"/>
              </w:rPr>
              <w:t>26-3474527</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4490"/>
        <w:gridCol w:w="60"/>
        <w:gridCol w:w="935"/>
      </w:tblGrid>
      <w:tr>
        <w:trPr/>
        <w:tc>
          <w:tcPr>
            <w:tcW w:w="4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D_edei--EntityAddressAddressLine1_"/>
            <w:bookmarkEnd w:id="12"/>
            <w:r>
              <w:rPr>
                <w:rFonts w:ascii="Times New Roman;Times;Serif" w:hAnsi="Times New Roman;Times;Serif"/>
                <w:b/>
                <w:i w:val="false"/>
                <w:caps w:val="false"/>
                <w:smallCaps w:val="false"/>
                <w:sz w:val="20"/>
              </w:rPr>
              <w:t xml:space="preserve">5857 Owens Avenue, </w:t>
            </w:r>
            <w:bookmarkStart w:id="13" w:name="xdx_906_edei--EntityAddressAddressLine2_"/>
            <w:bookmarkEnd w:id="13"/>
            <w:r>
              <w:rPr>
                <w:rFonts w:ascii="Times New Roman;Times;Serif" w:hAnsi="Times New Roman;Times;Serif"/>
                <w:b/>
                <w:i w:val="false"/>
                <w:caps w:val="false"/>
                <w:smallCaps w:val="false"/>
                <w:sz w:val="20"/>
              </w:rPr>
              <w:t xml:space="preserve">Suite 300, </w:t>
            </w:r>
            <w:bookmarkStart w:id="14" w:name="xdx_908_edei--EntityAddressCityOrTown_c2"/>
            <w:bookmarkEnd w:id="14"/>
            <w:r>
              <w:rPr>
                <w:rFonts w:ascii="Times New Roman;Times;Serif" w:hAnsi="Times New Roman;Times;Serif"/>
                <w:b/>
                <w:i w:val="false"/>
                <w:caps w:val="false"/>
                <w:smallCaps w:val="false"/>
                <w:sz w:val="20"/>
              </w:rPr>
              <w:t xml:space="preserve">Carlsbad, </w:t>
            </w:r>
            <w:bookmarkStart w:id="15" w:name="xdx_907_edei--EntityAddressStateOrProvin"/>
            <w:bookmarkEnd w:id="15"/>
            <w:r>
              <w:rPr>
                <w:rFonts w:ascii="Times New Roman;Times;Serif" w:hAnsi="Times New Roman;Times;Serif"/>
                <w:b/>
                <w:i w:val="false"/>
                <w:caps w:val="false"/>
                <w:smallCaps w:val="false"/>
                <w:sz w:val="20"/>
              </w:rPr>
              <w:t>California</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0_edei--EntityAddressPostalZipCode"/>
            <w:bookmarkEnd w:id="16"/>
            <w:r>
              <w:rPr>
                <w:rFonts w:ascii="Times New Roman;Times;Serif" w:hAnsi="Times New Roman;Times;Serif"/>
                <w:b/>
                <w:i w:val="false"/>
                <w:caps w:val="false"/>
                <w:smallCaps w:val="false"/>
                <w:sz w:val="20"/>
              </w:rPr>
              <w:t>92008</w:t>
            </w:r>
          </w:p>
        </w:tc>
      </w:tr>
      <w:tr>
        <w:trPr/>
        <w:tc>
          <w:tcPr>
            <w:tcW w:w="44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7" w:name="xdx_902_edei--CityAreaCode_c20250101__20"/>
      <w:bookmarkEnd w:id="17"/>
      <w:r>
        <w:rPr>
          <w:rFonts w:ascii="Times New Roman;Times;Serif" w:hAnsi="Times New Roman;Times;Serif"/>
          <w:b/>
          <w:i w:val="false"/>
          <w:caps w:val="false"/>
          <w:smallCaps w:val="false"/>
          <w:sz w:val="20"/>
        </w:rPr>
        <w:t xml:space="preserve">(760) </w:t>
      </w:r>
      <w:bookmarkStart w:id="18" w:name="xdx_90F_edei--LocalPhoneNumber_c20250101"/>
      <w:bookmarkEnd w:id="18"/>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180" w:type="dxa"/>
        <w:jc w:val="left"/>
        <w:tblInd w:w="0" w:type="dxa"/>
        <w:tblLayout w:type="fixed"/>
        <w:tblCellMar>
          <w:top w:w="0" w:type="dxa"/>
          <w:left w:w="0" w:type="dxa"/>
          <w:bottom w:w="28" w:type="dxa"/>
          <w:right w:w="0" w:type="dxa"/>
        </w:tblCellMar>
      </w:tblPr>
      <w:tblGrid>
        <w:gridCol w:w="3680"/>
        <w:gridCol w:w="60"/>
        <w:gridCol w:w="1610"/>
        <w:gridCol w:w="60"/>
        <w:gridCol w:w="3770"/>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8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9_edei--Security12bTitle_c20250101"/>
            <w:bookmarkEnd w:id="19"/>
            <w:r>
              <w:rPr>
                <w:rFonts w:ascii="Times New Roman;Times;Serif" w:hAnsi="Times New Roman;Times;Serif"/>
                <w:b/>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7_edei--TradingSymbol_c20250101__2"/>
            <w:bookmarkEnd w:id="20"/>
            <w:r>
              <w:rPr>
                <w:rFonts w:ascii="Times New Roman;Times;Serif" w:hAnsi="Times New Roman;Times;Serif"/>
                <w:b/>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B_edei--SecurityExchangeName_c2025"/>
            <w:bookmarkEnd w:id="21"/>
            <w:r>
              <w:rPr>
                <w:rFonts w:ascii="Times New Roman;Times;Serif" w:hAnsi="Times New Roman;Times;Serif"/>
                <w:b/>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u w:val="single"/>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2" w:name="xdx_90A_edei--EntityWellKnownSeasonedIss"/>
      <w:bookmarkEnd w:id="2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3" w:name="xdx_900_edei--EntityVoluntaryFilers_c202"/>
      <w:bookmarkEnd w:id="23"/>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 </w:t>
      </w:r>
      <w:bookmarkStart w:id="24" w:name="xdx_907_edei--EntityCurrentReportingStat"/>
      <w:bookmarkEnd w:id="24"/>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post such files). </w:t>
      </w:r>
      <w:bookmarkStart w:id="25" w:name="xdx_904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 w:name="xdx_90D_edei--EntityFilerCategory_c2025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7" w:name="xdx_904_edei--EntitySmallBusiness_c20250"/>
            <w:bookmarkEnd w:id="27"/>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8" w:name="xdx_904_edei--EntityEmergingGrowthCompan"/>
            <w:bookmarkEnd w:id="28"/>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9" w:name="xdx_90E_edei--IcfrAuditorAttestationFlag"/>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0" w:name="xdx_90D_edei--DocumentFinStmtErrorCorrec"/>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1" w:name="xdx_90B_edei--EntityShellCompany_dbF_c20"/>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stock held by non-affiliates of the Registrant, as of June 30, 2025, the last business day of the Registrant’s most recently completed second fiscal quarter, was approximately $</w:t>
      </w:r>
      <w:bookmarkStart w:id="32" w:name="xdx_907_edei--EntityPublicFloat_iI_c2025"/>
      <w:bookmarkEnd w:id="32"/>
      <w:r>
        <w:rPr>
          <w:rFonts w:ascii="Times New Roman;Times;Serif" w:hAnsi="Times New Roman;Times;Serif"/>
          <w:b w:val="false"/>
          <w:i w:val="false"/>
          <w:caps w:val="false"/>
          <w:smallCaps w:val="false"/>
          <w:sz w:val="20"/>
        </w:rPr>
        <w:t>5,581,476, based on a closing price of $3.413 per share of common stock,par value $</w:t>
      </w:r>
      <w:bookmarkStart w:id="33" w:name="xdx_905_edei--EntityListingParValuePerSh"/>
      <w:bookmarkEnd w:id="33"/>
      <w:r>
        <w:rPr>
          <w:rFonts w:ascii="Times New Roman;Times;Serif" w:hAnsi="Times New Roman;Times;Serif"/>
          <w:b w:val="false"/>
          <w:i w:val="false"/>
          <w:caps w:val="false"/>
          <w:smallCaps w:val="false"/>
          <w:sz w:val="20"/>
        </w:rPr>
        <w:t>0.001 per share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23, 2026, the Registrant had </w:t>
      </w:r>
      <w:bookmarkStart w:id="34" w:name="xdx_907_edei--EntityCommonStockSharesOut"/>
      <w:bookmarkEnd w:id="34"/>
      <w:r>
        <w:rPr>
          <w:rFonts w:ascii="Times New Roman;Times;Serif" w:hAnsi="Times New Roman;Times;Serif"/>
          <w:b w:val="false"/>
          <w:i w:val="false"/>
          <w:caps w:val="false"/>
          <w:smallCaps w:val="false"/>
          <w:sz w:val="20"/>
        </w:rPr>
        <w:t>20,234,993 shares of Common Stock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885"/>
        <w:gridCol w:w="245"/>
      </w:tblGrid>
      <w:tr>
        <w:trPr/>
        <w:tc>
          <w:tcPr>
            <w:tcW w:w="9960"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w:t>
              </w:r>
            </w:hyperlink>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BUSINESS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ITEM 1A. RISK FACTORS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ITEM 1B. UNRESOLVED STAFF COMMENTS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ITEM 1C. CYBERSECURITY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ITEM 2. PROPERTIES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3. LEGAL PROCEEDINGS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4. MINE SAFETY DISCLOSURES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60" w:type="dxa"/>
            <w:gridSpan w:val="2"/>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PART II</w:t>
              </w:r>
            </w:hyperlink>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6. [RESERVED].</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8. FINANCIAL STATEMENTS AND SUPPLEMENTARY DATA</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9A. CONTROLS AND PROCEDURES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9B. OTHER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960"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i w:val="false"/>
                  <w:caps w:val="false"/>
                  <w:smallCaps w:val="false"/>
                  <w:sz w:val="20"/>
                </w:rPr>
                <w:t>PART III</w:t>
              </w:r>
            </w:hyperlink>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ITEM 11. EXECUTIVE COMPENSATION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ITEM 14. PRINCIPAL ACCOUNTING FEES AND SERVICES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9960" w:type="dxa"/>
            <w:gridSpan w:val="2"/>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b/>
                  <w:i w:val="false"/>
                  <w:caps w:val="false"/>
                  <w:smallCaps w:val="false"/>
                  <w:sz w:val="20"/>
                </w:rPr>
                <w:t>PART IV</w:t>
              </w:r>
            </w:hyperlink>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b w:val="false"/>
                  <w:i w:val="false"/>
                  <w:caps w:val="false"/>
                  <w:smallCaps w:val="false"/>
                  <w:sz w:val="20"/>
                </w:rPr>
                <w:t>ITEM 15. EXHIBITS, FINANCIAL STATEMENT SCHEDULES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b w:val="false"/>
                  <w:i w:val="false"/>
                  <w:caps w:val="false"/>
                  <w:smallCaps w:val="false"/>
                  <w:sz w:val="20"/>
                </w:rPr>
                <w:t>ITEM 16. FORM 10-K SUMMARY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share and per share amounts in this Annual Report on Form 10-K, including in the consolidated financial statements and notes, have been retroactively adjusted to reflect the 1:50 stock split that was effected on November 5, 2024 for all periods presented.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(this “Annual Report”) contains forward-looking statements by AlxCrypto Holdings, Inc.. (the “Company”) that involve risks and uncertainties and reflect our judgment as of the date of this Annual Report. These statements generally relate to future events or our future financial or operating performance. In some cases, you can identify forward-looking statements because they contain words such as “may,” “will,” “should,” “expects,” “plans,” “anticipates,” “could,” “intends,” “target,” or “continue” or the negative of these words or other similar terms or expressions that concern our expectations, strategy, plans or intentions. Such forward-looking statements may relate to, among other things, potential future development, testing and launch of products and product candidates. Actual events or results may differ from our expectations due to a number of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about: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projected financial information, anticipated growth rate, and market opportunities of the Company;</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ability to maintain the listing of our Common Stock on Nasdaq;</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public securities’ potential liquidity and trading;</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ability to raise financing in the future;</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success in retaining or recruiting, or changes required in, officers, key employees, or directors;</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potential effects of extensive government regulation;</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future financial performance and capital requirements;</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high inflation rates and interest rate increases;</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trends in, expected growth in and market size of the blockchain and Fintech industries in the markets we have business and globally;</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continue to develop new technologies and/or upgrade our existing technologies</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factors relating to our business, operations, and financial performances, including:</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compete in a changing industry and respond quickly and cost-effectively to new or emerging technologies</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generate the earnings necessary to fund our operations, continue to grow our business or repay our debt obligations;</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future development and growth of cryptocurrency;</w:t>
      </w:r>
    </w:p>
    <w:p>
      <w:pPr>
        <w:pStyle w:val="TextBody"/>
        <w:bidi w:val="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stay in compliance with laws and regulations that currently apply or become applicable to our business both in the United States and internationally given the highly evolving and uncertain regulatory landscape;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statements regarding our future operations, financial condition, and prospects and business strategies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competitive dynamics, regulatory and scientific developments and depend on the economic circumstances that may or may not occur in the future or may occur on longer or shorter timelines than anticipated. In light of the significant uncertainties in these forward-looking statements, you should not rely upon forward-looking statements as predictions of future events. Although we believe that we have a reasonable basis for each forward-looking statement contained in this Annual Report,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In addition, even if our results of operations, financial condition and liquidity, and the development of the industry in which we operate, are consistent in some future periods with the forward-looking statements contained in this Annual Report, they may not be predictive of results or developments in other future periods. Any forward-looking statement that we make in this Annual Report speaks only as of the date of this Annual Report, and we disclaim any intent or obligation to update these forward-looking statements beyond the date of this Annual Report, except as required by law. This caution is made under the safe harbor provisions of the Private Securities Litigation Reform Act of 1995.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filings with the Securities and Exchange Commission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The forward-looking statements speak only as of the date on which they are made, and we undertake no obligation to update such statements to reflect events that occur or circumstances that exist after the date on which they are made.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01"/>
      <w:bookmarkEnd w:id="35"/>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02"/>
      <w:bookmarkEnd w:id="36"/>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 (Nasdaq: AIXC) (“AIxC,” “we,” “us,” or the “Company”) is a technology infrastructure company focused on the convergence of artificial intelligence and blockchain-based programmable systems. The Company develops software platforms and programmable infrastructure designed to facilitate the tokenization of real-world assets (“RWA”) and the deployment of Embodied Artificial Intelligence (“EAI”) in commercial environments. Our mission is to serve as the regulated, programmable infrastructure layer connecting traditional capital markets with on-chain systems and AI-enabled commercial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two structural shifts are reshaping global capital markets and physical infrastructure simultaneously: the migration of asset ownership and transaction finalization to distributed ledger technology, and the proliferation of AI-enabled physical systems such as autonomous vehicles, robotics, and connected systems that generate, consume, and require programmable infrastructure. AIxC is purpose-built to sit at the intersection of these trends.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Realignment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closed a $41 million PIPE financing and subsequently , in November 2025, rebranded from Qualigen Therapeutics to AIxCrypto Holdings, Inc. (Nasdaq: AIXC). Following the transaction, the Company operated across three business lines under its “Three Driving Forces” framework: the BesTrade DeAI Agent platform, the C10 digital asset treasury and portfolio management tools, and the RWA Embodied AI (EAI)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Company’s board determined to concentrate on the RWA + Embodied AI (EAI) ecosystem. In connection with that decision, the Company has determined to discontinue development of the BesTrade platform and the C10 portfolio management tools. These products were developed as early-stage proofs of concept and did not meet the scale, regulatory profile, or margin characteristics consistent with the Company’s revised focus on enterprise and institutional infrastructure. The Company does not anticipate material impairment charges in connection with this discontinuation beyond what has been previously disclosed.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the Company continues to evaluate strategic options for its therapeutics programs, previously conducted under the Qualigen brand. These options may include proceeding with the existing QN-302 trial, licensing the asset, or an outright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these actions is a Company that operates with a focused capital structure, reduced operational complexity, and a business model that institutional investors can evaluate against a defined set of infrastructure and programmable technology benchmarks.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Business: The Dual-Pillar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AIxC’s operations are organized around two integrated business pillars, which we refer to collectively as our Dual Flywheel strategy. These pillars are designed to be mutually reinforcing: revenue and data generated through RWA tokenization activities support the development and refinement of EAI infrastructure, and EAI deployment generates on-chain transaction volume and ecosystem participation that drives RWA structuring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Real-World Asset Tokenization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 develops and operates software infrastructure for the digitization of traditional assets onto distributed ledger networks. Our tokenization framework is designed to preserve regulatory compliance at each stage of the asset lifecycle by encoding compliance logic, transfer restrictions, and ownership records directly into smart contracts. This approach is intended to give institutional counterparties the auditability and mathematical certainty that trust-based legacy systems cannot provide at scale.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commercial application involves a $10 million strategic equity investment in common stock of Faraday Future Intelligent Electric Inc. (Nasdaq: FFAI), which is currently anticipated to close before March 31, 2026. Pursuant to an Entrusted Investment Agreement, the shares are currently held by an independent third party. The Company intends to develop a tokenization framework for these holdings as a reference implementation for investors seeking access to on-chain liquidity for traditional equity positions. The tokenization of this investment has not yet been completed and is subject to the development of applicable technical and regulatory infrastructure. The Company intends to generate revenue from this pillar through structuring fees, platform licensing to enterprises utilizing our tokenization infrastructure, and management fees associated with on-chain asset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Embodied AI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EAI pillar is focused on building the execution and monetization layer for AI-enabled physical systems. As autonomous mobility, robotics, and connected equipment generate increasing volumes of operational data, we believe there is a significant unaddressed need for programmable infrastructure that can govern the economic relationships between AI agents, human principals, and the capital that funds their deployment.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 is developing the AIxC Hub, a decentralized application ecosystem designed to facilitate the registration, validation, and deployment of AI models, with transaction finalization and incentive structures encoded on-chain. The Company’s early-stage commercial collaboration with FFAI Robotics Inc., a subsidiary of Faraday Future Intelligent Electric Inc. (Nasdaq: FFAI), is expected to provide an initial deployment environment for this infrastructure, with FFAI Robotics’ EAI-enabled vehicle and robotics programs serving as a primary source of real-world operational data. No definitive commercial agreements governing this collaboration have been executed, and there can be no assurance that any such agreements will be 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generate revenue through three primary channels as its platforms achieve commercial scale. Platform licensing fees will be charged to enterprise customers utilizing AIxC’s EAI infrastructure and tokenization stack. Structuring and transaction fees will be earned in connection with the management and administration of tokenized assets. Ecosystem participation revenue will be derived from the growth and utilization of the AIxC Hub, including validator economics, model deployment fees, and protocol-level participation mechanisms.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EAI and RWA platforms are in the early stages of commercialization and have not generated material revenue to date. Investors should review the risk factors and forward-looking statement disclosures in this filing carefully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Position and Regulatory Framework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 competes with a range of participants across the tokenization and AI infrastructure competitive environment, including both established technology companies and early-stage blockchain-native platforms. We believe our differentiation lies in our focus on institutional compliance infrastructure, our existing regulatory posture as a Nasdaq-listed public company, and our early commercial relationship with an EAI-focused hardware partner that provides real-world data and deployment context for our AI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subject to evolving regulatory frameworks governing digital assets, blockchain-based securities, and AI systems in the United States and other jurisdictions. We maintain an active regulatory compliance program and are engaged with applicable regulatory bodies as the legal landscape for these technologies continues to develop.</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 Opportunity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 backdrop supports our strategy. Blockchain adoption is accelerating across industries from roughly $41 billion in 2025 to approximately $1.9 trillion by 2034, representing more than a 50% compound annual growth rate. Institutional interest continues to grow, with surveys showing over 70% of organizations adopting or planning to adopt blockchain for supply chain, payments, and data systems. The on-chain RWA market has grown to more than $20 billion in 2025, a more than 300% increase over three years, with some forecasts projecting tokenized assets reaching many trillions within a decade. The global AI Agent market is approximately $7 billion today and is projected to exceed $47 billion by 2030, representing a compound annual growth rate of nearly 45%. These two markets are each growing at exceptional rates, and the intersection between them has virtually no 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10 employees. in addition, we engaged certain consultants and advisors, including a Chief Advisor role and executive advisors, who provide strategic guidance to the company. The company also benefits from a Transition Service Agreement (TSA) between Faraday Future (“FF”) and AIXC, under which FF provides certain operational support, expertise, and resources to assist the company in advancing its strategic and business objectives.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we  announced a strategic partnership with BitMart to launch a co-branded virtual prepaid card. The offering will enhance real-world payment flexibility for digital asset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AIxC Hub surpassed 1 million registered wallets and launched Tenk, a new AI-;powered interactive game further enhancing user retention. AIxC official X account ranked seven among top regional discussion leaderboards.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AIxC announced that AIxC Hub exceeded 500,000 registered wallets and 200,000 daily active participants in the first week following the launch. The AIxC Hub is data engine that captures human decision-making patterns to train embodied AI models. It is based on zero capital participation model, minimizing financial barriers with forecasting capabilities for the C10 Index, and provides Points systems for community participants.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was renamed from Qualigen and rebranded as AixCrypto Holdings, Inc. (Nasdaq: AIXC). The Company will take blockchain as foundational technology and artificial intelligence as a major driver of creating a global ecosystem connecting Web2 and Web3.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September 2025 PIPE Financing</w:t>
      </w:r>
    </w:p>
    <w:p>
      <w:pPr>
        <w:pStyle w:val="TextBody"/>
        <w:shd w:fill="FFFFFF" w:val="clear"/>
        <w:bidi w:val="0"/>
        <w:spacing w:lineRule="auto" w:line="25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consummated a subscription agreement (the “Subscription Agreement”) with certain investors, including Faraday Future Intelligent Electric Inc. (Nasdaq: FFAI) (the “Lead Investor”), pursuant to which the investors purchased $40.7 million (the “Offering”) of the Company’s common stock and shares of a newly created Series B Convertible Preferred Stock, par value $0.001 per share (the “Series B Preferred Stock”). Up to $6.8 million of the net proceeds from the Offering were used to pay existing debt and fund existing business operations. The remainder of the proceeds, including contributed cryptocurrency, was allocated to the establishment of the Company’s digital asset treasury operations and related Web3 and AI infrastructure initiatives.</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connection with the closing of the Subscription Agreement, 1,087,266 warrants were issued to the placement agent, (the “Placement Agent Warrants”). The Placement Agent Warrants were immediately exercisable and have an initial exercise price of $2.47 per share. At December 31, 2025, 1,087,266 Placement Agent Warrants remain outstanding.</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Offering, the Company rebranded from Qualigen Therapeutics, Inc. to AIxCrypto Holdings, Inc. and began trading on Nasdaq under the ticker symbol AIXC in November 2025. Following the rebrand, the Company operated across three business lines: the BesTrade DeAI Agent trading platform, the C10 digital asset treasury and portfolio management tools, and its Real World Asset and Embodied AI (EAI) ecosystem.</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closing of the Offering, the Company undertook a further strategic realignment, as described above under “Strategic Realignment.”</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July 2025 Financing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closed a private placement transaction to raise additional funding through the sale of 4,500 shares of Series A-3 Preferred Stock at a purchase price of $1,000 per share, for a net total of $4.2 million.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 Agency LLC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consulting agreement (the “IR Agency Consulting Agreement”) with IR Agency, LLC (“IR Agency”), a provider of investor relations-related services on October 9, 2024. Pursuant to the IR Agency Consulting Agreement, we have engaged IR Agency, on a non-exclusive basis, to prepare marketing and advertising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performance under the IR Agency Consulting Agreement, we will pay IR Agency a fee of $800,000 upon the Company raising $1.8 million or more in an equity financing over the thirty (30) days. IR Agency is not a registered broker-dealer or investment advisor and will not engage in any activities on behalf of us that would require it to be registered as a broker-dealer or investment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 Agency Consulting Agreement will have a term of one (1) month and may be terminated by written notice, with or without cause, by us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November 2024 Preferred Stock Offering, the Consulting Agreement (the “IR Agency Consulting Agreement”) dated October 9, 2024, between the Company and IR Agency, LLC (“IR Agency”), a provider of investor relations services, became effective. Pursuant to the terms of the agreement, $800,000 of the proceeds has been paid to IR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research and development of our drug candidates, we have historically leveraged the scientific and technical resources and laboratory facilities of UofL and UCL, through technology licensing, sponsored research, and other consulting agreements. We have engaged contract research organizations (“CROs”) and clinical sites for the Phase 1a clinical trial of QN-302. We intend to focus our internal research and development on oversight of these CROs. We currently have no internal research and development facilities. We significantly reduced the amount of research and development performed in the year ended December 31, 2025 due to a lack of funding.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Matters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prior years we have considered the regulatory requirements of the FDA regarding drug trials, there were no trials performed in the year ended December 31, 2025, and therefore no approvals from regulatory agencies were required.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Qualigen manages and licensed the patents titled “Substitued Naphthalene Dimides and Their Use” . The patent is for the drug QN-302 and covers the product and their methods of manufacturing. In total 20 countries in Europe have patent coverage, as well as India, China, and Russia. The expiration of these patents extends into 2040. The company will maintain these patents in these geographies as well as look to expand global coverage.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Qualification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working capital deficiency, stockholders’ equity, and recurring losses from operations raise substantial doubt about our ability to continue as a going concern. As a result, our independent registered public accounting firm included an explanatory paragraph in its report on our financial statements for the year ended December 31, 2025 with respect to this uncertainty. Our ability to continue as a going concern will require us to obtain additional funding.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5857 Owens Avenue Suite 300, Carlsbad CA 92008 Our  telephone number is (760) 452-8111. Our corporate website address is </w:t>
      </w:r>
      <w:r>
        <w:rPr>
          <w:rFonts w:ascii="Times New Roman;Times;Serif" w:hAnsi="Times New Roman;Times;Serif"/>
          <w:b w:val="false"/>
          <w:i/>
          <w:caps w:val="false"/>
          <w:smallCaps w:val="false"/>
          <w:sz w:val="20"/>
        </w:rPr>
        <w:t>www.aixcrypto.ai</w:t>
      </w:r>
      <w:r>
        <w:rPr>
          <w:rFonts w:ascii="Times New Roman;Times;Serif" w:hAnsi="Times New Roman;Times;Serif"/>
          <w:b w:val="false"/>
          <w:i w:val="false"/>
          <w:caps w:val="false"/>
          <w:smallCaps w:val="false"/>
          <w:sz w:val="20"/>
        </w:rPr>
        <w:t>. Our website and the information contained on, or that can be accessed through, our website will not be deemed to be incorporated by reference in, and are not considered part of, this Annual Report. You should not rely on our website or any such information in making your decision whether to purchase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our annual reports on Form 10-K, quarterly reports on Form 10-Q, current reports on Form 8-K, and, if applicable, amendments to those reports, available on the investor relations portion of our website. The reports are free of charge and are available as soon as reasonably possible after they are filed with the SEC. The SEC maintains a website at www.sec.gov that contains reports, proxy statements and other information regarding SEC registrants, including AIxCrypto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Item 10(f)(1) of Regulation S-K. Smaller reporting companies may take advantage of certain reduced disclosure obligations, including, among other things, providing only two years of audited financial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03"/>
      <w:bookmarkEnd w:id="37"/>
      <w:r>
        <w:rPr>
          <w:rFonts w:ascii="Times New Roman;Times;Serif" w:hAnsi="Times New Roman;Times;Serif"/>
          <w:b/>
          <w:i w:val="false"/>
          <w:caps w:val="false"/>
          <w:smallCaps w:val="false"/>
          <w:sz w:val="20"/>
        </w:rPr>
        <w:t>ITEM 1A.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risks.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which are the risks we judge (rightly or wrongly) to be the most significant to investors, are not the only ones we face. Additional risks that we currently do not judge to be among the “most significant” may also impair our business, financial condition, operating results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negative cash flows and will require additional financing to execute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recurring losses and experienced negative cash flows from operations. We incurred net loss of $16.9 million for the year ended December 31, 2025. As of December 31, 2025, we remain in a development and investment stage with respect to our digital asset and software initiatives and have not generated material revenue from these initiatives. Our ability to continue developing and deploying our software platforms depends on our ability to obtain additional financing. There can be no assurance that such financing will be available on acceptable terms, or at all. If we are unable to secure sufficient capital when needed, we may be required to delay, reduce, or eliminate development activities, reduce operating expenses, or otherwise materially modify our business plans. Any equity financing may result in substantial dilution to our stockholders, and debt or convertible debt financing may impose restrictive covenants that could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 an early-stage development phase under our current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divestiture of our prior diagnostics business , we transitioned to a digital asset–focused software strategy. Our RWA + EAI initiatives remain in development phases and have not generated material revenue. We have limited operating history under our current business model, and investors have limited historical information upon which to evaluate our prospects. Our future success depends on our ability to successfully develop, deploy, and commercialize new software platforms in competitive and evolving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depends on several factors, including successful product development, user adoption, access to capital, technological performance, regulatory developments, and market conditions affecting digital assets. If we are unable to successfully execute our development plans, attract users, or compete effectively, our growth prospects may be limited. Additionally, evolving regulatory frameworks, economic conditions, or declines in digital asset market activity may constrain our ability to expand operations or generate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customer-facing platforms may not achieve user adoption or generate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BesTrade and our planned RWA + EAI initiatives depends on our ability to attract and retain users. User adoption may be adversely affected by competition, market volatility, technological limitations, regulatory changes, or security concerns. If we are unable to achieve sufficient user engagement, our ability to generate subscription-based or other revenue from these platforms may be materially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software development efforts may be delayed, exceed budget, or fail to perform as intended.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BesTrade and RWA + EAI involves technical complexity, integration challenges, and evolving product requirements. Development timelines may be extended due to technical obstacles, changes in regulatory requirements, resource constraints, or unforeseen operational issues. Internally developed systems may contain errors, defects, or vulnerabilities that could result in operational disruption, reputational harm, or financial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AI Blockchain platform is internally developed and may not function as intended.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Blockchain is used internally to support digital asset portfolio monitoring, analytics, and operational oversight. As an internally developed and evolving system, it may contain errors, design limitations, or cybersecurity vulnerabilities. Failures or deficiencies in internal systems could impair decision-making, result in inaccurate reporting, or expose us to financial or operational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significant digital asset 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digital assets as part of our treasury and investment activities, including our internally managed C10 portfolio. Digital asset markets have historically experienced significant price volatility. Market fluctuations may materially impact the fair value of our holdings and could adversely affect our financial condition and results of operations. Digital asset prices may be influenced by factors beyond our control, including regulatory developments, macroeconomic conditions, market sentiment, technological changes, and security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environment surrounding digital assets, tokenization, and AI-enabled financial tools is evolving and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markets and tokenization initiatives are subject to evolving regulatory frameworks in the United States and internationally. Regulatory authorities may impose new or additional requirements relating to securities laws, commodities laws, anti-money laundering compliance, custody requirements, or other regulatory regimes. Changes in applicable regulations or regulatory interpretations could limit our ability to operate our platforms as currently contemplated, increase compliance costs, or require modification of our business model.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platforms could be subject to regulatory classification that imposes additional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BesTrade is designed to provide analytics and informational tools and does not operate as a broker, exchange, custodian, or trading venue. However, regulatory authorities may interpret aspects of our activities differently. If regulators were to determine that our activities require registration, licensing, or compliance with additional regulatory requirements, we could incur substantial costs, face operational limitations, or be required to modify or discontinue certain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service providers for technology infrastructure and digital asset custody.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providers for hosting infrastructure, data services, and, where applicable, digital asset custody and related services. The failure, disruption, or insolvency of these providers, or cybersecurity incidents affecting them, could adversely affect our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could suffer in the event of computer system failures, cyberattacks, or deficiencies in our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depend on the secure and reliable performance of our technology systems and infrastructure. Cybersecurity incidents, including unauthorized access, malware attacks, system disruptions, or data breaches, could result in operational interruptions, loss of digital assets, regulatory scrutiny, litigation, or reputational harm. As our platforms develop and potentially expand user engagement, our exposure to cybersecurity risk may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“C10” Treasury strategy subjects our financial condition to extreme market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a concentrated basket of digital assets.  Because our Common Stock may trade as a high-beta proxy for these assets, our stock price may fluctuate significantly based on global crypto market swings, completely independent of our AI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Control and Sole Custody of Digital Assets May Expose the Company to Significant Financial and Operational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Crypto-Centric Treasury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Pursuant to the Lead Investor Agreement, the Company is required to adopt a Treasury Reserve Policy that establishes cryptocurrencies as our primary ongoing treasury reserve asset.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Concentrated Operational Control: The Faraday-appointed Co-Chief Executive Officer has been granted sole responsible for all of the Company’s business operations, including crypto-related businesses, with the sole exception of the legacy medical-related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Access to Digital Assets: The Lead Investor Agreement states that the Faraday-appointed Co-CEO shall have sole access to all crypto-related accounts of the Company, subject to delegation.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Point of Failure: If the Co-CEO becomes incapacitated, or if there is a security breach, loss of credentials, or misappropriation involving these specific accounts, we do not have an immediate, native backup mechanism to access our own treasury assets. Such an event could result in the total and irretrievable loss of our primary treasury assets, materially harming our financial condition and operational viability.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may fail to execute our pivot from therapeutics to Web3</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undergoing a transition from a clinical-stage oncology company (Qualigen) to an AI and digital asset infrastructure ecosystem provider. There is no guarantee that our management’s historical experience will translate to success in the decentralized infrastructure space.</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and may in the future, enter into partnerships, collaborations, joint ventures, or strategic alliances with third parties. If we are unsuccessful in establishing or maintaining strategic relationships with these third parties or if these third parties fail to deliver certain services,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enter partnerships, collaborations, joint ventures, or strategic alliances with third parties in connection with the development, operation, and enhancement of our platform and products and the provision of our services. Identifying strategic relationships with third parties and negotiating and documenting relationships with them may be time-consuming and complex and may distract management. Moreover, we may be delayed, or not be successful, in achieving the objectives that we anticipate as a result of such strategic relationships. For example, we rely on our strategic relationship with Faraday Future to fuel our decentralized AI models and on-chain strategies. If Faraday Future experiences financial distress, supply chain disruptions, or shifts its strategic priorities away from our partnership, we may lose access to the critical data required for our EAIRWA ecosystem. In evaluating counterparties in connection with partnerships, collaborations, joint ventures or strategic alliances, we consider a wide range of economic, legal and regulatory criteria depending on the nature of such relationship, including the counterparties’ reputation, operating results and financial condition, operational ability to satisfy our and our customers’ needs in a timely manner, efficiency and reliability of systems, certifications costs to us or to our customers, and licensure and compliance status. Despite this evaluation, third parties may still not meet our or our customers’ needs, which may adversely affect our ability to deliver products and services to customers, and could adversely affect our business, operating results, and financial condition. Counterparties to any strategic relationship may have economic or business interests or goals that are, or that may become, inconsistent with our business interests or goals, and may subject us to additional risks to the extent any such third party becomes the subject of negative publicity, faces its own litigation or regulatory challenges, or faces other adverse circumstances. Conflicts may arise with our strategic partners, such as the interpretation of significant terms under any agreement, which may result in litigation or arbitration which would increase our expenses and divert the attention of our management. If we are unsuccessful in establishing or maintaining strategic relationships with third parties, our ability to compete in the marketplace or to grow our revenue could be impaired and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development and growth of crypto is subject to a variety of factors that are difficult to predict and evaluate. If crypto does not grow as we expect,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built on blockchain technology were only introduced in 2008 and remain in the early stages of development. In addition, different crypto assets are designed for different purposes. The further growth and development of any crypto assets and their underlying networks and other cryptographic and algorithmic protocols governing the creation, transfer, and usage of crypto assets represent a new and evolving paradigm that is subject to a variety of factors that are difficult to evaluate.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 and we compete against unregulated or less regulated companies and companies with greater financial and other resources, and our business, operating results, and financial condition could be adversely affected if we are unable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 industry is highly innovative, rapidly evolving, and characterized by healthy competition, experimentation, changing customer needs, frequent introductions of new products and services, and subject to uncertain and evolving industry and regulatory requirements. We expect competition to intensify in the future as existing and new competitors introduce new products or enhance existing products. We face significant competition from a variety of companies around the world, in particular those located outside the United States, who at times are and may in the future be subject to significantly less stringent regulatory and compliance requirements in their local jurisdictions. Their business models rely on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 Given the uneven enforcement by United States and foreign regulators, many of these competitors have been able to operate from offshore while offering large numbers of products and services to consumers, including in the United States, without complying with the relevant licensing and other requirements in these jurisdictions, and historically without penalty. We also have expended significant managerial, operational, and compliance costs to comply with laws and regulations applicable to us in the jurisdictions in which we operate, and expect to continue to incur significant costs to comply with these requirements, which these unregulated or less regulated competitors have not had to incur. As regulations and compliance requirements in the United States become clearer, we may face increased competition from companies based in the United States. Our current and potential competitors may establish cooperative relationships among themselves or with third parties that may further enhance their resources. If we are unable to compete successfully, or if competing successfully requires us to take costly actions in response to the actions of our competitors, our business, operating results, and financial condition could be adversely affected.</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keep pace with rapid industry changes to provide new and innovative products and services, the use of our products and services, and consequently our net revenue, could decline, which could adversely affect our business, operating results, and financial</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has been characterized by many rapid, significant, and disruptive products and services in recent years. We expect new services and technologies to continue to emerge and evolve, which may be superior to, or render obsolete, the products and services that we currently provide. For example, decentralized networks and other disruptive technologies such as generative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or other factors. Moreover, we must continue to enhance our technical infrastructure and other technology offerings to remain competitive and maintain a platform that has the required functionality, performance, capacity, security, and speed to attract and retain customers. As a result, we expect to incur significant costs and expenses to develop and upgrade our technical infrastructure to meet the evolving needs of the industry. Our success will depend on our ability to develop, scale, and incorporate new offerings and adapt to technological changes and evolving industry practices. If we are unable to do so in a timely or cost-effective manner, our ability to successfully compete, to retain existing customers, and to attract new customers may be impacted and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particular crypto asset, product or service’s status as a “security” in any relevant jurisdiction is subject to a high degree of uncertainty and if we are unable to properly characterize a crypto asset or product offering, we may be subject to regulatory scrutiny, inquiries, investigations, fines, and other penalties, which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or not an asset, product, or service is a security or constitutes a securities offering under federal securities laws is ultimately determined by a federal court. The legal test for determining whether any given crypto asset, product, or service is an investment contract security was set forth in the 1946 Supreme Court case </w:t>
      </w:r>
      <w:r>
        <w:rPr>
          <w:rFonts w:ascii="Times New Roman;Times;Serif" w:hAnsi="Times New Roman;Times;Serif"/>
          <w:b w:val="false"/>
          <w:i/>
          <w:caps w:val="false"/>
          <w:smallCaps w:val="false"/>
          <w:sz w:val="20"/>
        </w:rPr>
        <w:t xml:space="preserve">SEC v. W.J. Howey Co. </w:t>
      </w:r>
      <w:r>
        <w:rPr>
          <w:rFonts w:ascii="Times New Roman;Times;Serif" w:hAnsi="Times New Roman;Times;Serif"/>
          <w:b w:val="false"/>
          <w:i w:val="false"/>
          <w:caps w:val="false"/>
          <w:smallCaps w:val="false"/>
          <w:sz w:val="20"/>
        </w:rPr>
        <w:t xml:space="preserve">and whether any given crypto asset, product, or service is a note in the 1990 Supreme Court case </w:t>
      </w:r>
      <w:r>
        <w:rPr>
          <w:rFonts w:ascii="Times New Roman;Times;Serif" w:hAnsi="Times New Roman;Times;Serif"/>
          <w:b w:val="false"/>
          <w:i/>
          <w:caps w:val="false"/>
          <w:smallCaps w:val="false"/>
          <w:sz w:val="20"/>
        </w:rPr>
        <w:t>Reves v. Ernst &amp; Young</w:t>
      </w:r>
      <w:r>
        <w:rPr>
          <w:rFonts w:ascii="Times New Roman;Times;Serif" w:hAnsi="Times New Roman;Times;Serif"/>
          <w:b w:val="false"/>
          <w:i w:val="false"/>
          <w:caps w:val="false"/>
          <w:smallCaps w:val="false"/>
          <w:sz w:val="20"/>
        </w:rPr>
        <w:t>. The legal tests for determining whether any given crypto asset, product, or service is a security requires a highly complex, fact-driven analysis. Accordingly, whether any given crypto asset, product or service would be ultimately deemed by a federal court to be a security is uncertain and difficult to predict notwithstanding the conclusions of the SEC or any conclusions we may draw based on our risk-based assessment regarding the likelihood that a particular crypto asset, product or service could be deemed a “security” or “securities offering” under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theft, loss, or destruction of private keys required to access any crypto assets held in custody for our own account. If we are unable to access our private keys or if we experience a hack or other data loss relating to our ability to access any crypto assets, it could cause regulatory scrutiny, reputational harm, and other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generally controllable only by the possessor of the unique private key relating to the digital wallet in which the crypto assets are held. While blockchain protocols typically require public addresses to be published when used in a transaction, private keys must be secured and kept private in order to prevent a third party from accessing the crypto assets held in such a wallet. To the extent that any of the private keys relating to our wallets containing crypto assets held for our own account is lost, destroyed, or otherwise compromised or unavailable, and no backup of the private key is accessible, we will be unable to access the crypto assets held in the related wallet. Further, we cannot provide assurance that our wallets will not be hacked or compromised. Crypto assets and blockchain technologies have been, and may in the future be, subject to security breaches, hacking, or other malicious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Due to our limited operating history, it may be difficult to evaluate our business and future prospects, and we may not be able to achieve or maintain profitability in any given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began to transition our operations in 2025 and since then our business model has continued to evolve. Our limited operating history and the volatile nature of our business make it difficult to evaluate our current business and our future prospects. We have encountered and will continue to encounter risks and difficulties as described in this section. If we do not manage these risks successfully,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business metrics and other estimates are subject to inherent challenges in measurement and change as our business evolves, and our business, operating results, and financial condition could be adversely affected by real or perceived inaccuracies in those metrics or any changes in metrics we disclose.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our key business metrics to evaluate our business, measure our performance, identify trends affecting our business, and make strategic decisions. These key business metrics are calculated using internal company data and have not been validated by an independent third-party. While these numbers are based on what we believe to be reasonable estimates for the applicable period of measurement at the time of reporting, there are inherent challenges in such measurements. If we fail to maintain an effective analytics platform, our key business metrics calculations may be inaccurate, and we may not be able to identify those inaccuracies. Additionally, we may in the future calculate certain key business metrics using third-party data. While we believe the third-party data we have used in the past or may use in the future is reliable, we have not independently verified and may not in the future independently verify the accuracy or completeness of the data contained in such sources and there can be no assurance that such data is free of error. Any inaccuracy in the third-party data we use could cause us to overstate or understate our key business metrics. We generally will not update previously disclosed key business metrics for any such inaccuracies or adjustments that are immaterial. We may change our key business metrics from time to time, which may be perceived negatively. Given the rapid evolution of the crypto markets and our revenue sources, we regularly evaluate whether our key business metrics remain meaningful indicators of the performance of our business. Further if investors or the media perceive any changes to our key business metrics disclosures negatively,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suffer losses due to abrupt and erratic market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 asset market has been characterized by significant volatility and unexpected price movements, and has experienced significant declines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economic conditions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is subject to general economic conditions, and their impact on the crypto asset markets and our customers. The United States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Adverse general economic conditions have impacted in the past, and may impact in the future, the cryptoeconomy, although the extent of such impacts remains uncertain and dependent on a variety of factors, including market adoption of crypto assets, global trends in the cryptoeconomy, central bank monetary policies, instability in the global banking system, volatility and disruptions in the capital and credit markets, and other events beyond our control. Geopolitical developments, such as trade wars and foreign exchange limitations can also increase the severity and levels of unpredictability globally and increase the volatility of global financial and crypto asset markets. To the extent general economic conditions and crypto assets markets materially deteriorate or decline for a prolonged period, our ability to generate revenue and to attract and retain customers could suffer and our business, operating results and financial condition could be adversely affected. Moreover, even if general economic conditions were to improve following any such deterioration, there is no guarantee that the cryptoeconomy would similarly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procedures and internal control over our financial reporting, our ability to produce timely and accurate financial statements or comply with applicable regulations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The Sarbanes-Oxley Act of 2002 and related rules of the SEC require,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we have expended, and anticipate that we will continue to expend, significant resources, including accounting-related costs and significant management oversight. If we encounter material weaknesses or deficiencies in our internal control over financial reporting, we may not detect errors on a timely basis and our Consolidated Financial Statements may be materially misstated.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to be included in our periodic reports filed with the SEC. Ineffective disclosure controls and procedures or internal control over financial reporting may adversely affect investor confidence in us and, as a result, negatively impact the price of our common stock and have a material and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business growth, and this capital might not be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make investments in our business, which investments may require us to secure additional funds. Additional financing may not be available on terms favorable to us, if at all, including due to general macroeconomic conditions, crypto market conditions and any disruptions in the crypto market, instability in the global banking system, increasing regulatory uncertainty and scrutiny or other unforeseen factors. In the event of a downgrade of our credit rating, our ability to raise additional financing may be adversely affected and any future debt offerings or credit arrangements we propose to enter may be on less favorable terms or terms that may not be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Pending SEC Enforcement Actions Against Our Co-CEO, Chief Advisor, and Lead Investor Could Materially Disrupt Our Operations and Restrict Access to Our Treasury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FF (the “Lead Investor”), our Co-CEO (Jiawei Wang), and our Chief Advisor (YT Jia) received SEC Wells Notices regarding alleged federal securities law violations. The SEC is considering seeking remedies that include barring Mr. Wang and Mr. Jia from serving as officers or directors of a public company. Pursuant to our Lead Investor Agreement, Mr. Wang is solely responsible for our non-medical business operations. He has also been granted sole access, subject to delegation, to all of our crypto-related accounts. If the SEC successfully pursues a D&amp;O bar against Mr. Wang, we could face an immediate crisis in executive leadership and potential delays or inability to access our primary treasury reserve assets. An SEC enforcement action against Mr. Jia could impair our damage our reputation with institutional partners. Because FF is our Lead Investor and controls significant board and operational appointments, any financial penalties, injunctions, or reputational damage suffered by FF as a result of the SEC’s investigation could materially and adversely affect our business, capital structure, and ability to raise future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been involved, and may continue to be involved, in disputes, claims or proceedings arising from our operations or class actions from time to time, which could result in significant liabilities and reputational harm and could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disputes, claims or proceedings arising out of our operations. In addition, we may have disagreements with regulatory bodies in the course of our operations, which may subject us to administrative proceedings and unfavorable orders, directives or decrees that may result in financial losses. Ongoing disputes, claims or proceedings may divert our management’s attention and consume their time and our other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an issuer following periods of instability in the market price of an issuer’s securities, or after the publication of third-party research reports. As of the date of this Annual Report, we are not aware of any lawsuits threatened or filed against us based on any alleged violation of securities laws. We cannot assure you that there would not be any future claims against us or that we would successfully defend against them. Any such suit, whether or not successful, could harm our reputation, result in share price volatility and a loss of customers, and restrict our ability to raise capital in the future. Even if claims do not result in litigation or are resolved in our favor, these claims, and the time and resources necessary to resolve them, could divert the resources of our management and require significant expenditures, which could prevent us from competing effectively and could have an adverse effect on our business, operating results, and financial condition. In addition, if a claim is successfully made against us, we may be required to pay significant damages, which could have a material adverse effect on our financial condition and results of operations. Furthermore, any disputes, claims or proceedings which are initially not of material importance may escalate and become important to us, due to a variety of factors, such as the facts and circumstances of the cases, the likelihood of loss, the monetary amount at stake and the parties involved. As of the date of this Annual Report, we are not able to quantify the likelihood or amount of exposure from any of these potential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arising from disputes, claims or proceedings may damage our reputation and adversely affect the image of our brands and products. In addition, if any verdict or award is rendered against us, we could be required to pay significant monetary damages, assume other liabilities and even to suspend or terminate the related business ventures or projects. Consequently, our business, results of operations and financial condition may be materially and adversely affected.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maintain, and enforce adequate intellectual property protection for our core technologies, our competitors could develop and commercialize similar products, which would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protect our proprietary technology, brand, trade secrets, and institutional knowledge globally. We rely on a combination of patents, trademarks, copyrights, trade secrets, and confidentiality and license agreements to protect our artificial intelligence and blockchain-based innovations. These critical assets include our protocol, infrastructure, and application layer technologies , as well as current and future developments related to our RWA and EAI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patent prosecution process is expensive, time-consuming, and complex, particularly within the rapidly evolving Web3 and cryptocurrency environments. We may not be able to file, prosecute, maintain, or enforce all necessary patent applications globally at a reasonable cost or in a timely manner. It is possible that our pending or future patent applications will not result in issued patents, or that our intellectual property rights could be challenged, narrowed, invalidated, or circumvented by competitors developing alternative decentralized protocols. Furthermore, changes in U.S. patent law and ongoing patent reform may increase the uncertainty and costs associated with obtaining and defending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by third parties that we infringe upon their intellectual property rights could be costly, time-consuming, and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artificial intelligence, cryptocurrency, and blockchain industries are characterized by rapid technological advancement, a proliferation of patents, and frequent, complex litigation regarding intellectual property rights. As we execute our strategy, we may become subject to adversarial proceedings if competitors or non-practicing entities assert that our products or technologiesinfringe upon their 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against any such claims of infringement could cause us to incur substantial legal costs, divert the attention of our management and technical personnel, and substantially increase our operating losses. If we are found to infringe a third party’s valid intellectual property rights, we could be subject to significant monetary damages, enjoined from developing or commercializing the infringing technologies, or forced to obtain costly licenses, which may not be available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heavily rely on trade secrets and confidentiality agreements to safeguard our competitive advantage, and these measures may not adequately protect our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 protection, we rely on the protection of trade secrets, know-how, and confidential proprietary information to safeguard our AI-driven trading infrastructure and decentralized technology protocols. To maintain the confidentiality of these assets, including the algorithms powering the [___] ’s execution, we rely in part on non-disclosure agreements with our employees, outside developers, and partners within the AIxC Labs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precautions, these agreements may not effectively prevent the unauthorized disclosure of confidential information. Enforcing a claim of misappropriation is inherently difficult and expensive. Because we expect to rely on third parties, such as global stablecoin issuers, the need to share confidential information increases the risk that our trade secrets could become known by competitors. If we lose protection for our trade secrets, the value of our technology would be greatly reduced, severely harming our ability to build a global leading ecosystem that integrates AI, crypto, and blockchain.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intellectual property protection in certain jurisdictions outside the United States could adversely affect our global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prosecuting, and defending our intellectual property across our global digital ecosystem is prohibitively expensive. We face significant difficulties in obtaining and enforcing our rights in jurisdictions outside the United States, where legal systems may not favor the enforcement of such rights. Competitors may use our technology in these regions to develop competing products. Efforts to enforce our rights abroad can be time-consuming and expose us to risks of invalidation or counterclaims, potentially reducing our commercial advantage in key foreign markets.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and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Sarbanes-Oxley Act of 2002 (the “Sarbanes-Oxley Act”), the Dodd-Frank Wall Street Reform and Consumer Protection Act and other applicable securities rules and regulations. The Exchange Act requires, among other things, that we file annual and current reports with the SEC with respect to our business and operating results. Compliance with these rules and regulations increases our legal and financial compliance costs, makes some activities more difficult, time-consuming, or costly, and increases demand on our systems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disclosure of information in this Annual Report and in filings required of a public company, our business and financial condition is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resources of our management and harm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Periods of rapid growth and expansion could place a significant strain on our resources, including our employee base, which could negatively impact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strategic transition into the Web3 and AI sectors to become a gateway to the AI Web3 world places a significant strain and demands on our management, our operational and financial resources, customer operations, research and development, sales and marketing, administrative, and other resources. To manage our possible future growth effectively, we will be required to continue to improve our management, operational and financial systems. Future growth would also require us to successfully hire, train, motivate and manage our employees. In addition, our continued growth and the evolution of our business plan will require significant additional management, technical and administrative resources. If we are unable to manage our growth successfully, we may not be able to effectively manage the growth and evolution of our current business and our operating results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and financial market disruptions may adversely affect our liquidity, operations, and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global financial markets, including volatility in equity and digital asset prices and reduced availability of capital, could limit our access to financing, increase our cost of capital, and disrupt our customers and partners. Stress affecting banks and payment partners, as well as crypto market intermediaries such as exchanges, lenders, stablecoin issuers, and custodians, could impair our liquidity, reduce customer activity, and negatively impact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persistent inflation, interest rate changes, geopolitical instability, sanctions and supply chain constraints may reduce customer spending, trading volumes, and demand for our products and services. These conditions can also lengthen payment cycles, increase credit losses and write-offs, and constrain working capital. If capital markets tighten, we may be unable to raise funds on acceptable terms or at all, limiting our ability to fund operations, invest, or pursue growth opportunities, including the necessary funding to pursue our strategic investments in the technology infrastructure or completion of our RWA tokenization initiatives involving FFAI stock. Any of these factors could materially and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Heightened public scrutiny and negative publicity could damage our reputation and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Characteristics of the crypto ecosystem, including decentralization, cross-border activity, and pseudonymous transactions, can attract heightened attention from the public, regulators, and the media. As our business expands to include the Web3 Store and RWA + EAI ecosystem development, we may face increased scrutiny from regulators in existing and new markets. Allegations or negative publicity regarding platform failures, security incidents, or regulatory actions in the broader crypto industry, whether or not accurate, can lead to government inquiries, increased oversight, and reputational harm. This scrutiny could deter customers and partners from utilizing our AI-driven trading infrastructure, dampening demand for our services. Responding to inquiries or litigation can be costly and divert management’s attention, and adverse perceptions could negatively impact the market price of our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data and information in this Annual Report were obtained from third-party sources and were not independently verified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includes data and information from publicly available third party publications and reports. These sources often include projections based on assumptions that may not materialize, and markets relevant to our business, including digital asset and financial technology markets, may not grow at the rates projected or at all. Broader macroeconomic, regulatory, and industry specific factors discussed in this report introduce uncertainty that could cause actual outcomes to differ materially from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independently verified the third party data and information included here. Such data may have been collected using methodologies different from our own, and while these publications often state that their information is believed to be reliable, accuracy and completeness are not guaranteed. You should not place undue reliance on third party data or projections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large number of authorized but unissued shares of our common stock which will dilute existing ownership positions when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our authorized capital stock consists of 225 million shares of common stock, of which approximately 219.8 million remain available for issuance, including shares of common stock issuable upon the exercise of outstanding derivative securities. Our management will continue to have broad discretion to issue shares of our common stock in a range of transactions, including capital-raising transactions, mergers, acquisitions and other transactions, without obtaining stockholder approval, unless stockholder approval is required under law or the rules of Nasdaq or any other trading market on which our common stock may be listed. If our management determines it be appropriate to issue shares of our common stock from the large pool of authorized but unissued shares for any purpose in the future and is not required to obtain stockholder approval, your ownership position would be diluted without your further ability to vote on that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be affected by limited trading volume and price fluctuations, which could adversely impact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experienced, and is likely to experience in the future, significant price and volume fluctuations, which could adversely affect the market prices of our common stock without regard to our operating performance. In addition, we believe that factors such as quarterly fluctuations in our financial results and changes in the overall economy or the condition of the financial markets could cause the market prices of our common stock and warrants to fluctuate substantially. These fluctuations may also cause short sellers to periodically enter the market in the belief that we will have poor results in the future. We cannot predict the actions of market participants and, therefore, can offer no assurances that the market for our common stock and warrants will be stable or appreciate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but be unable, to obtain additional funding on satisfactory terms, which could dilute our stockholders or impose burdensome financial restrictions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cash from financing activities, and, in the future, we hope to rely on revenues generated from operations to fund the cash requirements of our activities. However, there can be no assurance that we will be able to generate any significant cash from our operating activities in the future. Future financing may not be available on a timely basis, in sufficient amounts or on terms acceptable to us, if at all. Any debt financing or other financing of securities senior to the common stock will likely include financial and other covenants that will restrict our financing and/or operational flexibility. Any failure to comply with these covenants would have a material adverse effect on our business, prospects, financial condition and results of operations because we could lose our existing sources of funding, and our ability to secure new sources of funding could be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8" w:name="a_004"/>
      <w:bookmarkEnd w:id="38"/>
      <w:r>
        <w:rPr>
          <w:rFonts w:ascii="Times New Roman;Times;Serif" w:hAnsi="Times New Roman;Times;Serif"/>
          <w:b/>
          <w:i w:val="false"/>
          <w:caps/>
          <w:sz w:val="20"/>
        </w:rPr>
        <w:t>Item 1B. Unresolved Staff Comments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a_005"/>
      <w:bookmarkEnd w:id="39"/>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40" w:name="xdx_98C_ecyd--CybersecurityRiskManagemen"/>
      <w:bookmarkEnd w:id="40"/>
      <w:r>
        <w:rPr>
          <w:rFonts w:ascii="Times New Roman;Times;Serif" w:hAnsi="Times New Roman;Times;Serif"/>
          <w:b w:val="false"/>
          <w:i w:val="false"/>
          <w:caps w:val="false"/>
          <w:smallCaps w:val="false"/>
          <w:sz w:val="20"/>
        </w:rPr>
        <w:t>The Company recognizes the increasing complexity and significance of cybersecurity risks in safeguarding its technology, operations, proprietary systems, and data. The Company’s operations rely on interconnected digital infrastructure, cloud-based systems, and proprietary software platforms, including systems supporting digital asset management and cryptocurrency operations, making cybersecurity an essential component of its risk management framework.</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a cybersecurity program designed to identify, assess, mitigate, and respond to cybersecurity risks. This program is informed by recognized industry practices, including the National Institute of Standards and Technology (“NIST”) Cybersecurity Framework (“CSF”). The following disclosure outlines the Company’s cybersecurity risk management strategy and governance, including the Board’s oversight and management’s role.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Cybersecurity Risk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a structured cybersecurity risk management program to assess, identify, and manage cybersecurity risks across its information technology environment, including corporate systems and cloud-based platforms. The Company currently operates in part through shared IT infrastructure and personnel, which provides continuity of cybersecurity controls and practices while the Company develops its standalone capabilities. Key elements of the program include: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and periodic evaluation of cybersecurity risks across systems and environments.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Threat detection and monitoring, including alert triage and investigation, to identify suspicious activity and potential incidents.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Vulnerability management, including scanning, prioritization, and remediation activities.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controls and security protections, including multi-factor authentication, encryption protocols, and endpoint security measures where appropriate.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risk management, including evaluation of vendors and service providers that may access Company data or systems.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risks are evaluated in coordination with management and are considered within the Company’s broader operational and enterprise risk considerations.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Governance and Oversight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41" w:name="xdx_90E_ecyd--CybersecurityRiskBoardOfDi"/>
      <w:bookmarkEnd w:id="41"/>
      <w:r>
        <w:rPr>
          <w:rFonts w:ascii="Times New Roman;Times;Serif" w:hAnsi="Times New Roman;Times;Serif"/>
          <w:b w:val="false"/>
          <w:i w:val="false"/>
          <w:caps w:val="false"/>
          <w:smallCaps w:val="false"/>
          <w:sz w:val="20"/>
        </w:rPr>
        <w:t>Cybersecurity oversight is a shared responsibility between the Company’s Board of Directors and management. The Vice President provides cybersecurity updates to the full Board as appropriate, including information regarding the Company’s cybersecurity posture, risk environment, incident trends, and mitigation efforts. The Company is in the process of establishing a formal cadence of cybersecurity reporting to the Board as part of its ongoing business transition. In addition to scheduled updates, management’s incident response procedures require that potential material cybersecurity incidents are escalated to senior leadership and the Board promptly, as appropriate. The Company enforces a top-down approach to cybersecurity governance, ensuring accountability and continuous risk monitoring at all levels of the organization.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bookmarkStart w:id="42" w:name="xdx_C07_gBFCRMPFAIAMT-FAV_zLPYZImjrbOe"/>
      <w:bookmarkEnd w:id="4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Management’s Role in Cybersecurity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43" w:name="xdx_908_ecyd--CybersecurityRiskProcessFo"/>
      <w:bookmarkEnd w:id="43"/>
      <w:r>
        <w:rPr>
          <w:rFonts w:ascii="Times New Roman;Times;Serif" w:hAnsi="Times New Roman;Times;Serif"/>
          <w:b w:val="false"/>
          <w:i w:val="false"/>
          <w:caps w:val="false"/>
          <w:smallCaps w:val="false"/>
          <w:sz w:val="20"/>
        </w:rPr>
        <w:t>Management is responsible for the day-to-day execution of the Company’s cybersecurity program. The Vice President oversees cybersecurity initiatives and supervises cybersecurity personnel and processes. The Company’s cybersecurity incident response governance is supported by an Incident Response Policy that is in the process of being established and will define roles and responsibilities, incident classification, documentation expectations, evidence preservation requirements, and communication protocols.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Cybersecurity Strategy and Resilience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cybersecurity resilience measures designed to support business continuity and protect critical assets. These measures include monitoring and response capabilities, as well as processes for containment, remediation, and recovery when incidents occur.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Material Cybersecurity Incidents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44" w:name="xdx_90D_ecyd--CybersecurityRiskMateriall"/>
      <w:bookmarkEnd w:id="44"/>
      <w:r>
        <w:rPr>
          <w:rFonts w:ascii="Times New Roman;Times;Serif" w:hAnsi="Times New Roman;Times;Serif"/>
          <w:b w:val="false"/>
          <w:i w:val="false"/>
          <w:caps w:val="false"/>
          <w:smallCaps w:val="false"/>
          <w:sz w:val="20"/>
        </w:rPr>
        <w:t>During fiscal year 2025, the Company did not experience any material cybersecurity incidents. No cybersecurity incidents required disclosure under Form 8-K Item 1.05 during 2025.</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Impact of Cyber Incidents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incidents, if material, could adversely affect the Company’s financial condition, results of operations, operational stability, and reputation. Potential impacts may include remediation costs, operational disruptions, litigation or regulatory exposure, and reputational harm. The Company evaluates cybersecurity risks as part of its ongoing risk assessment processes.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Board Expertise in Cybersecurity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45" w:name="xdx_904_ecyd--CybersecurityRiskBoardComm"/>
      <w:bookmarkEnd w:id="45"/>
      <w:r>
        <w:rPr>
          <w:rFonts w:ascii="Times New Roman;Times;Serif" w:hAnsi="Times New Roman;Times;Serif"/>
          <w:b w:val="false"/>
          <w:i w:val="false"/>
          <w:caps w:val="false"/>
          <w:smallCaps w:val="false"/>
          <w:sz w:val="20"/>
        </w:rPr>
        <w:t>The Board’s cybersecurity oversight is informed through management briefings and periodic updates. The Company may enhance Board education on cybersecurity trends and governance practices as appropriate.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Use of Third-Party Services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46" w:name="xdx_904_ecyd--CybersecurityRiskThirdPart"/>
      <w:bookmarkEnd w:id="46"/>
      <w:r>
        <w:rPr>
          <w:rFonts w:ascii="Times New Roman;Times;Serif" w:hAnsi="Times New Roman;Times;Serif"/>
          <w:b w:val="false"/>
          <w:i w:val="false"/>
          <w:caps w:val="false"/>
          <w:smallCaps w:val="false"/>
          <w:sz w:val="20"/>
        </w:rPr>
        <w:t>The Company uses third-party service providers to support certain technology and security functions. Digital asset custody services are provided by BitGo, a qualified custodian maintaining its own security controls and compliance frameworks. The Company evaluates third-party cybersecurity risks through vendor due diligence processes, including review of security documentation and reports where applicable, and monitors third-party risks on an ongoing basis. Given the nature of the Company’s cryptocurrency-focused operations, the security practices of digital asset custodians and blockchain infrastructure providers are a particular focus of the Company’s third-party risk management process.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both"/>
        <w:rPr>
          <w:caps w:val="false"/>
          <w:smallCaps w:val="false"/>
        </w:rPr>
      </w:pPr>
      <w:bookmarkStart w:id="47" w:name="xdx_C0D_gBFCRMPFAIAMT-FAV_znsnFZoTStei"/>
      <w:bookmarkEnd w:id="4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bookmarkStart w:id="48" w:name="xdx_C07_gBFCRMPFAIAMT-FAV_z2H72WlCKDn2"/>
      <w:bookmarkEnd w:id="4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Regulatory and Legal Compliance Risks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cybersecurity and data privacy requirements, including applicable data privacy laws and SEC disclosure requirements. Failure to comply with applicable requirements could result in financial penalties, legal liabilities, and reputational harm. The Company performs compliance-focused activities as part of its cybersecurity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Incident Response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incident response policy framework intended to support timely identification, containment, investigation, remediation, and recovery. Incident response procedures include incident severity classification, escalation, documentation, evidence preservation, and communications protocols.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Cyber Insurance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maintain standalone cybersecurity insurance coverage. The Company evaluates risk mitigation and risk transfer options as part of its broader risk management considerations.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Historical Cyber Incidents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record any material cybersecurity incidents during fiscal year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Technology and Infrastructure Risks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cybersecurity program includes measures intended to protect systems and data, including monitoring, endpoint protections, access controls, and vulnerability management. As cybersecurity threats continue to evolve, the Company may adjust its cybersecurity tools, processes, and controls over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Data Security and Privacy Policies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policies and controls intended to protect sensitive data, including access controls and other security measures designed to safeguard data confidentiality and integrity.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Ongoing Cybersecurity Efforts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invest in cybersecurity capabilities, including monitoring, vulnerability management, employee awareness training, and improvements to policies and procedures, to address evolving cybersecurity threats. As a company in transition, the Company expects to continue developing its standalone cybersecurity infrastructure and formalizing its governance processes accordingly.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9" w:name="xdx_C09_gBFCRMPFAIAMT-FAV_zedrSbwTb67l"/>
      <w:bookmarkEnd w:id="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0" w:name="a_006"/>
      <w:bookmarkEnd w:id="50"/>
      <w:r>
        <w:rPr>
          <w:rFonts w:ascii="Times New Roman;Times;Serif" w:hAnsi="Times New Roman;Times;Serif"/>
          <w:b/>
          <w:i w:val="false"/>
          <w:caps/>
          <w:sz w:val="20"/>
        </w:rPr>
        <w:t>Item 2. Properties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The Company is currently essentially “virtual.”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1" w:name="a_007"/>
      <w:bookmarkEnd w:id="51"/>
      <w:r>
        <w:rPr>
          <w:rFonts w:ascii="Times New Roman;Times;Serif" w:hAnsi="Times New Roman;Times;Serif"/>
          <w:b/>
          <w:i w:val="false"/>
          <w:caps/>
          <w:sz w:val="20"/>
        </w:rPr>
        <w:t>Item 3. Legal Proceedings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lawsuits, claims, investigations, and proceedings, including pending opposition proceedings involving patents that arise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2025, the Company was named as a defendant in an action brought by LifeSci Capital LLC (“LifeSci”) in the U.S. District Court for the Southern District of New York. The complaint alleges that the Company failed to pay $503,483 in connection with offerings of the Company’s common stock that occurred during the tail period of the agreement, pursuant to an engagement under which the Company retained LifeSci to serve as its placement agent and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its answer on March 17, 2025, denying the material allegations in the complaint and asserting various affirmative defenses. On October 9, 2025 the matter was settled out of court and the Company agreed to pay Lifesci $75,000 to settle the outstanding claim, which was paid in October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any future litigation cannot be predicted with certainty, and regardless of the outcome, litigation can have an adverse impact on us because of defense and settlement costs, diversion of management resources, and other factors.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2" w:name="a_008"/>
      <w:bookmarkEnd w:id="52"/>
      <w:r>
        <w:rPr>
          <w:rFonts w:ascii="Times New Roman;Times;Serif" w:hAnsi="Times New Roman;Times;Serif"/>
          <w:b/>
          <w:i w:val="false"/>
          <w:caps/>
          <w:sz w:val="20"/>
        </w:rPr>
        <w:t>Item 4. Mine Safety Disclosures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a_009"/>
      <w:bookmarkEnd w:id="53"/>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_010"/>
      <w:bookmarkEnd w:id="54"/>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been listed and traded on The Nasdaq Capital Market under the symbol “QLGN” since May 26, 2020 and updated to “AIXC” as of November 19,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9, 2026 , there were 234 registered holders of record of our Common Stock. This figure does not reflect the beneficial ownership of shares held in nominee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Its address is P.O. Box 64945, Saint Paul MN 55164-0945 and its telephone number is (800) 468-9716.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pay cash dividends in the foreseeable future. Any future decision to pay dividends will be at the discretion of our board and will depend, among other things, on earnings, financial condition, level of indebtedness, provisions of our existing credit agreements and other factors that our board deems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shd w:fill="FFFFFF" w:val="clear"/>
              </w:rPr>
            </w:pPr>
            <w:r>
              <w:rPr>
                <w:caps w:val="false"/>
                <w:smallCaps w:val="false"/>
                <w:shd w:fill="FFFFFF" w:val="clea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January 2024 until June 2024, we issued a total of 45,496 shares of Common Stock to the holder of </w:t>
            </w:r>
            <w:r>
              <w:rPr>
                <w:rFonts w:ascii="Times New Roman;Times;Serif" w:hAnsi="Times New Roman;Times;Serif"/>
                <w:b w:val="false"/>
                <w:i w:val="false"/>
                <w:caps w:val="false"/>
                <w:smallCaps w:val="false"/>
                <w:sz w:val="20"/>
                <w:u w:val="single"/>
              </w:rPr>
              <w:t>an 8% Senior Convertible Debenture</w:t>
            </w:r>
            <w:r>
              <w:rPr>
                <w:rFonts w:ascii="Times New Roman;Times;Serif" w:hAnsi="Times New Roman;Times;Serif"/>
                <w:b w:val="false"/>
                <w:i w:val="false"/>
                <w:caps w:val="false"/>
                <w:smallCaps w:val="false"/>
                <w:sz w:val="20"/>
              </w:rPr>
              <w:t xml:space="preserve"> (the “2022 Debenture”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in lieu of cash for monthly redemption payments totaling $660,000 due, at a weighted average conversion price of $14.51 per share. From June 2024 until July 2024, we issued a total of 58,378 shares of Common Stock upon the holder’s voluntary conversion of the remaining principal balance of the 2022 Debenture of approximately $759,000, at a weighted average conversion price of $13.00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shd w:fill="FFFFFF" w:val="clear"/>
              </w:rPr>
            </w:pPr>
            <w:r>
              <w:rPr>
                <w:caps w:val="false"/>
                <w:smallCaps w:val="false"/>
                <w:shd w:fill="FFFFFF" w:val="clear"/>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we issued an 8% Convertible Debenture (the “2024 Alpha Debenture”) in the principal amount of $550,000 to an investor with a maturity date of December 31, 2024, convertible at the option of the holder at a conversion price of $6.50 per share, subject to adjustments, which accrued interest on at the rate of 8% per annum, with a 5-year common stock purchase warrant to purchase at $13.00 per share 18,001 shares of Common Stock, subject to adjustments. The investor was also issued an option to purchase $1,100,000 in principal amount of additional 8% Convertible Debentures with similar terms, including an additional warrant to purchase up to 36,001 shares of Common Stock at an exercise price of $13.00 per share. In April 2024, the option was assigned and exercised, and we issued this additional 8% Convertible Debenture </w:t>
            </w:r>
            <w:r>
              <w:rPr>
                <w:rFonts w:ascii="Times New Roman;Times;Serif" w:hAnsi="Times New Roman;Times;Serif"/>
                <w:b w:val="false"/>
                <w:i w:val="false"/>
                <w:caps w:val="false"/>
                <w:smallCaps w:val="false"/>
                <w:sz w:val="20"/>
                <w:u w:val="single"/>
              </w:rPr>
              <w:t>(the “2024 Chen Debenture”)</w:t>
            </w:r>
            <w:r>
              <w:rPr>
                <w:rFonts w:ascii="Times New Roman;Times;Serif" w:hAnsi="Times New Roman;Times;Serif"/>
                <w:b w:val="false"/>
                <w:i w:val="false"/>
                <w:caps w:val="false"/>
                <w:smallCaps w:val="false"/>
                <w:sz w:val="20"/>
              </w:rPr>
              <w:t xml:space="preserve"> in the principal amount of $1,100,000 with a conversion price of $6.50 per share and a warrant to purchase 36,001 shares of Common Stock at an exercise price of $13.00 per share to another investor.</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May 2024 until July 2024, an aggregate of 31,998 shares of Common Stock were issued to an investor pursuant to the exercise of warrants at an exercise price of $6.50 per share. </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we issued a $2,000,000 Senior Note to an institutional investor, of which note was unsecured, nonconvertible and having a maturity date of July 8, 2025, with a 18% interest rate per annum. This Senior Note was repaid in cash in September 2024.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shd w:fill="FFFFFF" w:val="clear"/>
              </w:rPr>
            </w:pPr>
            <w:r>
              <w:rPr>
                <w:caps w:val="false"/>
                <w:smallCaps w:val="false"/>
                <w:shd w:fill="FFFFFF" w:val="clear"/>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issued 7,842 shares of Common Stock upon the holder’s partial voluntary conversion of the $550,000 8% Convertible Debenture, at a weighted average conversion price of $6.50 per share for a total of approximately $51,000 in principal. In November 2024, the remaining principal and accrued interest balance of approximately $531,000 was repaid in cash.</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2024, we issued 1,154 shares of Series A-2 Preferred Stock, par value $0.001 per share (the “Series A-2 Preferred Stock”) to the holder of the $1,100,000 8% Convertible Debenture in exchange for the extinguishment of the debenture with a principal and accrued interest balance of approximately $1,154,000.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shd w:fill="FFFFFF" w:val="clear"/>
              </w:rPr>
            </w:pPr>
            <w:r>
              <w:rPr>
                <w:caps w:val="false"/>
                <w:smallCaps w:val="false"/>
                <w:shd w:fill="FFFFFF" w:val="clea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April 2024 until December 2025, we issued an aggregate of $4,166,900 in notes receivable to a publicly traded entity, of which notes bear interest the rate of eighteen percent (18%) per annum and due upon demand by the 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Secured Convertible Note with an investor in the principal amount of $264,000, and an original issue discount (“OID”) of 20%, or $44,000, in exchange for $220,000 cash, less $20,000 in expenses. The Note is convertible at any time at the investor’s option, into shares of the Company’s Common Stock at a price equal to $3.80 per share, subject to certain adjustments. The Convertible Note bears no interest, and   was fully repaid in January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the Company entered into a securities purchase agreement, dated July 28, 2025, with certain accredited investors, pursuant to which the Company issued and sold an aggregate of 4,500 shares of its newly designated Series A-3 Preferred Stock, par value $0.001 per share, at a purchase price of $1,000 per share, for aggregate gross proceeds of approximately $4.5 million, before deducting placement agent fees and offering expenses. The private placement closed on July 28,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Company entered into a subscription agreement with certain investors, including FF, pursuant to which the investors agreed to purchase $41,000,000 in cash of the Common Stock, and shares of newly created Series B Convertible Preferred Stock, par value $0.001 per share (“Series B Preferred Stock”). The purchase price of the Common Stock was $2.246 per share and the purchase price for the Series B Preferred Stock was $1,000 per share. On September 29, 2025, the Company consummated the proposed transactions whereby the Company issued 337,432 shares Common Stock, and 17,783 shares of Series B Preferred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securities listed above was deemed exempt from registration under Section 4(a)(2) of the Securities Act or Regulation D promulgated thereunder in that the issuance of securities were made to accredited investors and did not involve a public offering. The recipient of such securities represented their intentions to acquire the securities for investment purposes only and not with a view to or for sale in connection with any distribution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Part III, Item 12, Security Ownership of Certain Beneficial Owners and Management and Related Stockholder Matters —Equity Incentive Plans</w:t>
      </w:r>
      <w:r>
        <w:rPr>
          <w:rFonts w:ascii="Times New Roman;Times;Serif" w:hAnsi="Times New Roman;Times;Serif"/>
          <w:b w:val="false"/>
          <w:i w:val="false"/>
          <w:caps w:val="false"/>
          <w:smallCaps w:val="false"/>
          <w:sz w:val="20"/>
        </w:rPr>
        <w:t>” of this report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Part III Item 11, Executive Compensation</w:t>
      </w:r>
      <w:r>
        <w:rPr>
          <w:rFonts w:ascii="Times New Roman;Times;Serif" w:hAnsi="Times New Roman;Times;Serif"/>
          <w:b w:val="false"/>
          <w:i w:val="false"/>
          <w:caps w:val="false"/>
          <w:smallCaps w:val="false"/>
          <w:sz w:val="20"/>
        </w:rPr>
        <w:t>” of this Annual Report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a_011"/>
      <w:bookmarkEnd w:id="55"/>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_012"/>
      <w:bookmarkEnd w:id="56"/>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the consolidated financial statements and related notes that are included elsewhere in this Annual Report.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Annual Report. See “Cautionary Note Regarding Forward-Looking Statements” for additional information. Unless otherwise indicated, all information in this Annual Report gives effect to a 1-for-50 reverse stock split of our common stock that became effective on November 5, 2024, and all references to shares of common stock outstanding and per share amounts give effect to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Marizyme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2024, the Company entered into a Co-Development Agreement (the “Co-Development Agreement”) with Marizyme. Under the Co-Development Agreement (as amended), we agreed to pay Marizyme a Funding Payment of up to $1,750,000 and an Exclusivity Fee of $200,000. The Exclusivity Fee of $200,000 and a Funding Payment of $500,000 was paid to Marizyme on April 12, 2024. The Exclusivity Fee entitled us to an exclusivity period until May 31, 2024 for purposes of proposing and outlining a broader strategic relationship with Marizyme with regard to Marizyme’s DuraGraft business. The Funding Payment is designed to provide financial support for commercialization of Marizyme’s DuraGraft™ vascular conduit solution, which is indicated for adult patients undergoing coronary artery bypass grafting surgeries and is intended for the flushing and storage of the saphenous vein grafts used in coronary artery bypass grafting surgery. In return for the Funding Payment, we will receive quarterly a 33% payment in the nature of royalties on any Net Sales (as defined with a meaning tantamount to gross profit on net sales) of DuraGraft, capped at double the amount of the Funding Payment cash provided. No such payments-in-the-nature-of-royalties would accrue until after DuraGraft has been launched in the United States and a cumulative total of $500,000 of DuraGraft Net Sales have been made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year ended December 31, 2025, the Company advanced a total of $4,166,900  to Marizyme, against which Marizyme had previously delivered demand promissory notes to the Company of like principal amounts (the “Marizyme Notes”). The Marizyme Notes bear interest the rate of eighteen percent (18%) per annum. Marizyme may pre-pay all or any part of the outstanding principal or interest of the Marizyme Notes at any time and from time to time, in whole or in part, without premium or penalty, until its maturity on August 21, 2026. Throughout the fourth quarter of 2025, the Board reassessed its interest in further pursuing a transaction with Marizyme given the Faraday Investment (as described further below) and Marizyme’s continued need for funding support, and, as such, management updated its expected credit loss (“CECL”) estimate under ASC 326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Faraday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consummated a Subscription Agreement (the “Subscription Agreement”) with certain investors including Faraday Future Intelligent Electric Inc. (NASDAQ: FFAI)(the “Lead Investor” or “Faraday”) pursuant to which the investors purchased $40.7 million (the “Offering”) of our Common Stock and shares of a newly created Series B Convertible Preferred Stock, par value $0.001 per share (the “Series B Preferred Stock”). Up to $6.8 million  of the net proceeds from the Offering were used to pay existing debt and fund our existing business operations, and the balance of the cash proceeds and contributed currency will be used for the establishment of our cryptocurrency treasury operations, using AlxCrypto. AIxCrypto (AIxC) is committed to building a world-leading ecosystem that integrates Artificial Intelligence (AI) and blockchain, bridging Web2 and Web3. This ecosystem unites a decentralized protocol, distributed network, AI DePIN and EAI RWA value regeneration, and a DeAI Agent product and technology platform designed to achieve optimal trading performance. Its core products include the BesTrade DeAI Agent and the AIxC ecosystem products.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the Company effected a 1-for-50, reverse stock split of our outstanding shares of common stock (the “Reverse Stock Split”). The Reverse Stock Split reduced our shares of outstanding common stock, stock options, and warrants to purchase shares of our common stock. Fractional shares of common stock that would have otherwise resulted from the Reverse Stock Split were rounded down to the nearest whole share and cash in lieu of fractional shares was paid to stockholders. All share and per share data for all periods presented in this Annual Report have been adjusted retrospectively to reflect the Reverse Stock Split. The number of authorized shares of common stock and the par value per share remains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and through the date of this filing, 33,858 shares of the Company’s Series B Preferred Stock were converted into 15,074,611 shares of common stock at a conversion price of $2.246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conversion activities:</w:t>
      </w:r>
    </w:p>
    <w:p>
      <w:pPr>
        <w:pStyle w:val="TextBody"/>
        <w:bidi w:val="0"/>
        <w:spacing w:before="0" w:after="0"/>
        <w:ind w:left="0" w:right="0" w:hanging="0"/>
        <w:jc w:val="left"/>
        <w:rPr>
          <w:caps w:val="false"/>
          <w:smallCaps w:val="false"/>
        </w:rPr>
      </w:pPr>
      <w:r>
        <w:rPr>
          <w:caps w:val="false"/>
          <w:smallCaps w:val="false"/>
        </w:rPr>
        <w:t> </w:t>
      </w:r>
    </w:p>
    <w:tbl>
      <w:tblPr>
        <w:tblW w:w="6823" w:type="dxa"/>
        <w:jc w:val="left"/>
        <w:tblInd w:w="0" w:type="dxa"/>
        <w:tblLayout w:type="fixed"/>
        <w:tblCellMar>
          <w:top w:w="0" w:type="dxa"/>
          <w:left w:w="0" w:type="dxa"/>
          <w:bottom w:w="28" w:type="dxa"/>
          <w:right w:w="0" w:type="dxa"/>
        </w:tblCellMar>
      </w:tblPr>
      <w:tblGrid>
        <w:gridCol w:w="1415"/>
        <w:gridCol w:w="60"/>
        <w:gridCol w:w="221"/>
        <w:gridCol w:w="2513"/>
        <w:gridCol w:w="60"/>
        <w:gridCol w:w="60"/>
        <w:gridCol w:w="125"/>
        <w:gridCol w:w="2294"/>
        <w:gridCol w:w="75"/>
      </w:tblGrid>
      <w:tr>
        <w:trPr/>
        <w:tc>
          <w:tcPr>
            <w:tcW w:w="1415" w:type="dxa"/>
            <w:tcBorders>
              <w:bottom w:val="single" w:sz="8" w:space="0" w:color="000000"/>
            </w:tcBorders>
            <w:vAlign w:val="center"/>
          </w:tcPr>
          <w:p>
            <w:pPr>
              <w:pStyle w:val="TableContents"/>
              <w:bidi w:val="0"/>
              <w:spacing w:before="0" w:after="283"/>
              <w:jc w:val="left"/>
              <w:rPr>
                <w:b/>
                <w:color w:val="1F1F1F"/>
              </w:rPr>
            </w:pPr>
            <w:r>
              <w:rPr>
                <w:b/>
                <w:color w:val="1F1F1F"/>
              </w:rPr>
              <w:t>Month (2026)</w:t>
            </w:r>
          </w:p>
        </w:tc>
        <w:tc>
          <w:tcPr>
            <w:tcW w:w="60" w:type="dxa"/>
            <w:tcBorders/>
            <w:tcMar>
              <w:bottom w:w="0" w:type="dxa"/>
            </w:tcMar>
            <w:vAlign w:val="center"/>
          </w:tcPr>
          <w:p>
            <w:pPr>
              <w:pStyle w:val="TableContents"/>
              <w:bidi w:val="0"/>
              <w:spacing w:before="0" w:after="283"/>
              <w:jc w:val="left"/>
              <w:rPr>
                <w:color w:val="1F1F1F"/>
              </w:rPr>
            </w:pPr>
            <w:r>
              <w:rPr>
                <w:color w:val="1F1F1F"/>
              </w:rPr>
              <w:t> </w:t>
            </w:r>
          </w:p>
        </w:tc>
        <w:tc>
          <w:tcPr>
            <w:tcW w:w="2734" w:type="dxa"/>
            <w:gridSpan w:val="2"/>
            <w:tcBorders>
              <w:bottom w:val="single" w:sz="8" w:space="0" w:color="000000"/>
            </w:tcBorders>
            <w:vAlign w:val="center"/>
          </w:tcPr>
          <w:p>
            <w:pPr>
              <w:pStyle w:val="TableContents"/>
              <w:bidi w:val="0"/>
              <w:spacing w:before="0" w:after="283"/>
              <w:jc w:val="left"/>
              <w:rPr>
                <w:b/>
                <w:color w:val="1F1F1F"/>
              </w:rPr>
            </w:pPr>
            <w:r>
              <w:rPr>
                <w:b/>
                <w:color w:val="1F1F1F"/>
              </w:rPr>
              <w:t>Series B Shares Converted</w:t>
            </w:r>
          </w:p>
        </w:tc>
        <w:tc>
          <w:tcPr>
            <w:tcW w:w="60" w:type="dxa"/>
            <w:tcBorders/>
            <w:tcMar>
              <w:bottom w:w="0" w:type="dxa"/>
            </w:tcMar>
            <w:vAlign w:val="center"/>
          </w:tcPr>
          <w:p>
            <w:pPr>
              <w:pStyle w:val="TableContents"/>
              <w:bidi w:val="0"/>
              <w:spacing w:before="0" w:after="283"/>
              <w:jc w:val="left"/>
              <w:rPr>
                <w:color w:val="1F1F1F"/>
              </w:rPr>
            </w:pPr>
            <w:r>
              <w:rPr>
                <w:color w:val="1F1F1F"/>
              </w:rPr>
              <w:t> </w:t>
            </w:r>
          </w:p>
        </w:tc>
        <w:tc>
          <w:tcPr>
            <w:tcW w:w="60" w:type="dxa"/>
            <w:tcBorders/>
            <w:tcMar>
              <w:bottom w:w="0" w:type="dxa"/>
            </w:tcMar>
            <w:vAlign w:val="center"/>
          </w:tcPr>
          <w:p>
            <w:pPr>
              <w:pStyle w:val="TableContents"/>
              <w:bidi w:val="0"/>
              <w:spacing w:before="0" w:after="283"/>
              <w:jc w:val="left"/>
              <w:rPr>
                <w:color w:val="1F1F1F"/>
              </w:rPr>
            </w:pPr>
            <w:r>
              <w:rPr>
                <w:color w:val="1F1F1F"/>
              </w:rPr>
              <w:t> </w:t>
            </w:r>
          </w:p>
        </w:tc>
        <w:tc>
          <w:tcPr>
            <w:tcW w:w="2419" w:type="dxa"/>
            <w:gridSpan w:val="2"/>
            <w:tcBorders>
              <w:bottom w:val="single" w:sz="8" w:space="0" w:color="000000"/>
            </w:tcBorders>
            <w:vAlign w:val="center"/>
          </w:tcPr>
          <w:p>
            <w:pPr>
              <w:pStyle w:val="TableContents"/>
              <w:bidi w:val="0"/>
              <w:spacing w:before="0" w:after="283"/>
              <w:jc w:val="left"/>
              <w:rPr>
                <w:b/>
                <w:color w:val="1F1F1F"/>
              </w:rPr>
            </w:pPr>
            <w:r>
              <w:rPr>
                <w:b/>
                <w:color w:val="1F1F1F"/>
              </w:rPr>
              <w:t>Common Shares Issued</w:t>
            </w:r>
          </w:p>
        </w:tc>
        <w:tc>
          <w:tcPr>
            <w:tcW w:w="75" w:type="dxa"/>
            <w:tcBorders/>
            <w:tcMar>
              <w:bottom w:w="0" w:type="dxa"/>
            </w:tcMar>
            <w:vAlign w:val="center"/>
          </w:tcPr>
          <w:p>
            <w:pPr>
              <w:pStyle w:val="TableContents"/>
              <w:bidi w:val="0"/>
              <w:spacing w:before="0" w:after="283"/>
              <w:jc w:val="left"/>
              <w:rPr>
                <w:color w:val="1F1F1F"/>
              </w:rPr>
            </w:pPr>
            <w:r>
              <w:rPr>
                <w:color w:val="1F1F1F"/>
              </w:rPr>
              <w:t> </w:t>
            </w:r>
          </w:p>
        </w:tc>
      </w:tr>
      <w:tr>
        <w:trPr/>
        <w:tc>
          <w:tcPr>
            <w:tcW w:w="1415" w:type="dxa"/>
            <w:tcBorders/>
            <w:shd w:fill="CCEEFF" w:val="clear"/>
            <w:tcMar>
              <w:bottom w:w="0" w:type="dxa"/>
            </w:tcMar>
            <w:vAlign w:val="center"/>
          </w:tcPr>
          <w:p>
            <w:pPr>
              <w:pStyle w:val="TableContents"/>
              <w:bidi w:val="0"/>
              <w:spacing w:before="0" w:after="283"/>
              <w:jc w:val="left"/>
              <w:rPr>
                <w:color w:val="1F1F1F"/>
              </w:rPr>
            </w:pPr>
            <w:r>
              <w:rPr>
                <w:color w:val="1F1F1F"/>
              </w:rPr>
              <w:t>January</w:t>
            </w:r>
          </w:p>
        </w:tc>
        <w:tc>
          <w:tcPr>
            <w:tcW w:w="60" w:type="dxa"/>
            <w:tcBorders/>
            <w:shd w:fill="CCEEFF" w:val="clear"/>
            <w:tcMar>
              <w:bottom w:w="0" w:type="dxa"/>
            </w:tcMar>
            <w:vAlign w:val="center"/>
          </w:tcPr>
          <w:p>
            <w:pPr>
              <w:pStyle w:val="TableContents"/>
              <w:bidi w:val="0"/>
              <w:spacing w:before="0" w:after="283"/>
              <w:jc w:val="left"/>
              <w:rPr>
                <w:color w:val="1F1F1F"/>
              </w:rPr>
            </w:pPr>
            <w:r>
              <w:rPr>
                <w:color w:val="1F1F1F"/>
              </w:rPr>
              <w:t> </w:t>
            </w:r>
          </w:p>
        </w:tc>
        <w:tc>
          <w:tcPr>
            <w:tcW w:w="221" w:type="dxa"/>
            <w:tcBorders>
              <w:bottom w:val="single" w:sz="8" w:space="0" w:color="000000"/>
            </w:tcBorders>
            <w:shd w:fill="CCEEFF" w:val="clear"/>
            <w:vAlign w:val="center"/>
          </w:tcPr>
          <w:p>
            <w:pPr>
              <w:pStyle w:val="TableContents"/>
              <w:bidi w:val="0"/>
              <w:spacing w:before="0" w:after="283"/>
              <w:jc w:val="left"/>
              <w:rPr>
                <w:color w:val="1F1F1F"/>
              </w:rPr>
            </w:pPr>
            <w:r>
              <w:rPr>
                <w:color w:val="1F1F1F"/>
              </w:rPr>
              <w:t> </w:t>
            </w:r>
          </w:p>
        </w:tc>
        <w:tc>
          <w:tcPr>
            <w:tcW w:w="2513" w:type="dxa"/>
            <w:tcBorders>
              <w:bottom w:val="single" w:sz="8" w:space="0" w:color="000000"/>
            </w:tcBorders>
            <w:shd w:fill="CCEEFF" w:val="clear"/>
            <w:vAlign w:val="center"/>
          </w:tcPr>
          <w:p>
            <w:pPr>
              <w:pStyle w:val="TableContents"/>
              <w:bidi w:val="0"/>
              <w:spacing w:before="0" w:after="283"/>
              <w:jc w:val="right"/>
              <w:rPr>
                <w:color w:val="1F1F1F"/>
              </w:rPr>
            </w:pPr>
            <w:r>
              <w:rPr>
                <w:color w:val="1F1F1F"/>
              </w:rPr>
              <w:t>3,926</w:t>
            </w:r>
          </w:p>
        </w:tc>
        <w:tc>
          <w:tcPr>
            <w:tcW w:w="60" w:type="dxa"/>
            <w:tcBorders/>
            <w:shd w:fill="CCEEFF" w:val="clear"/>
            <w:tcMar>
              <w:bottom w:w="0" w:type="dxa"/>
            </w:tcMar>
            <w:vAlign w:val="center"/>
          </w:tcPr>
          <w:p>
            <w:pPr>
              <w:pStyle w:val="TableContents"/>
              <w:bidi w:val="0"/>
              <w:spacing w:before="0" w:after="283"/>
              <w:jc w:val="left"/>
              <w:rPr>
                <w:color w:val="1F1F1F"/>
              </w:rPr>
            </w:pPr>
            <w:r>
              <w:rPr>
                <w:color w:val="1F1F1F"/>
              </w:rPr>
              <w:t> </w:t>
            </w:r>
          </w:p>
        </w:tc>
        <w:tc>
          <w:tcPr>
            <w:tcW w:w="60" w:type="dxa"/>
            <w:tcBorders/>
            <w:shd w:fill="CCEEFF" w:val="clear"/>
            <w:tcMar>
              <w:bottom w:w="0" w:type="dxa"/>
            </w:tcMar>
            <w:vAlign w:val="center"/>
          </w:tcPr>
          <w:p>
            <w:pPr>
              <w:pStyle w:val="TableContents"/>
              <w:bidi w:val="0"/>
              <w:spacing w:before="0" w:after="283"/>
              <w:jc w:val="left"/>
              <w:rPr>
                <w:color w:val="1F1F1F"/>
              </w:rPr>
            </w:pPr>
            <w:r>
              <w:rPr>
                <w:color w:val="1F1F1F"/>
              </w:rPr>
              <w:t> </w:t>
            </w:r>
          </w:p>
        </w:tc>
        <w:tc>
          <w:tcPr>
            <w:tcW w:w="125" w:type="dxa"/>
            <w:tcBorders>
              <w:bottom w:val="single" w:sz="8" w:space="0" w:color="000000"/>
            </w:tcBorders>
            <w:shd w:fill="CCEEFF" w:val="clear"/>
            <w:vAlign w:val="center"/>
          </w:tcPr>
          <w:p>
            <w:pPr>
              <w:pStyle w:val="TableContents"/>
              <w:bidi w:val="0"/>
              <w:spacing w:before="0" w:after="283"/>
              <w:jc w:val="left"/>
              <w:rPr>
                <w:color w:val="1F1F1F"/>
              </w:rPr>
            </w:pPr>
            <w:r>
              <w:rPr>
                <w:color w:val="1F1F1F"/>
              </w:rPr>
              <w:t> </w:t>
            </w:r>
          </w:p>
        </w:tc>
        <w:tc>
          <w:tcPr>
            <w:tcW w:w="2294" w:type="dxa"/>
            <w:tcBorders>
              <w:bottom w:val="single" w:sz="8" w:space="0" w:color="000000"/>
            </w:tcBorders>
            <w:shd w:fill="CCEEFF" w:val="clear"/>
            <w:vAlign w:val="center"/>
          </w:tcPr>
          <w:p>
            <w:pPr>
              <w:pStyle w:val="TableContents"/>
              <w:bidi w:val="0"/>
              <w:spacing w:before="0" w:after="283"/>
              <w:jc w:val="right"/>
              <w:rPr>
                <w:color w:val="1F1F1F"/>
              </w:rPr>
            </w:pPr>
            <w:r>
              <w:rPr>
                <w:color w:val="1F1F1F"/>
              </w:rPr>
              <w:t>1,747,781</w:t>
            </w:r>
          </w:p>
        </w:tc>
        <w:tc>
          <w:tcPr>
            <w:tcW w:w="75" w:type="dxa"/>
            <w:tcBorders/>
            <w:shd w:fill="CCEEFF" w:val="clear"/>
            <w:tcMar>
              <w:bottom w:w="0" w:type="dxa"/>
            </w:tcMar>
            <w:vAlign w:val="center"/>
          </w:tcPr>
          <w:p>
            <w:pPr>
              <w:pStyle w:val="TableContents"/>
              <w:bidi w:val="0"/>
              <w:spacing w:before="0" w:after="283"/>
              <w:jc w:val="left"/>
              <w:rPr>
                <w:color w:val="1F1F1F"/>
              </w:rPr>
            </w:pPr>
            <w:r>
              <w:rPr>
                <w:color w:val="1F1F1F"/>
              </w:rPr>
              <w:t> </w:t>
            </w:r>
          </w:p>
        </w:tc>
      </w:tr>
      <w:tr>
        <w:trPr/>
        <w:tc>
          <w:tcPr>
            <w:tcW w:w="1415" w:type="dxa"/>
            <w:tcBorders/>
            <w:shd w:fill="FFFFFF" w:val="clear"/>
            <w:tcMar>
              <w:bottom w:w="0" w:type="dxa"/>
            </w:tcMar>
            <w:vAlign w:val="center"/>
          </w:tcPr>
          <w:p>
            <w:pPr>
              <w:pStyle w:val="TableContents"/>
              <w:bidi w:val="0"/>
              <w:spacing w:before="0" w:after="283"/>
              <w:jc w:val="left"/>
              <w:rPr>
                <w:color w:val="1F1F1F"/>
              </w:rPr>
            </w:pPr>
            <w:r>
              <w:rPr>
                <w:color w:val="1F1F1F"/>
              </w:rPr>
              <w:t>February</w:t>
            </w:r>
          </w:p>
        </w:tc>
        <w:tc>
          <w:tcPr>
            <w:tcW w:w="60" w:type="dxa"/>
            <w:tcBorders/>
            <w:shd w:fill="FFFFFF" w:val="clear"/>
            <w:tcMar>
              <w:bottom w:w="0" w:type="dxa"/>
            </w:tcMar>
            <w:vAlign w:val="center"/>
          </w:tcPr>
          <w:p>
            <w:pPr>
              <w:pStyle w:val="TableContents"/>
              <w:bidi w:val="0"/>
              <w:spacing w:before="0" w:after="283"/>
              <w:jc w:val="left"/>
              <w:rPr>
                <w:color w:val="1F1F1F"/>
              </w:rPr>
            </w:pPr>
            <w:r>
              <w:rPr>
                <w:color w:val="1F1F1F"/>
              </w:rPr>
              <w:t> </w:t>
            </w:r>
          </w:p>
        </w:tc>
        <w:tc>
          <w:tcPr>
            <w:tcW w:w="221" w:type="dxa"/>
            <w:tcBorders>
              <w:bottom w:val="single" w:sz="8" w:space="0" w:color="000000"/>
            </w:tcBorders>
            <w:shd w:fill="FFFFFF" w:val="clear"/>
            <w:vAlign w:val="center"/>
          </w:tcPr>
          <w:p>
            <w:pPr>
              <w:pStyle w:val="TableContents"/>
              <w:bidi w:val="0"/>
              <w:spacing w:before="0" w:after="283"/>
              <w:jc w:val="left"/>
              <w:rPr>
                <w:color w:val="1F1F1F"/>
              </w:rPr>
            </w:pPr>
            <w:r>
              <w:rPr>
                <w:color w:val="1F1F1F"/>
              </w:rPr>
              <w:t> </w:t>
            </w:r>
          </w:p>
        </w:tc>
        <w:tc>
          <w:tcPr>
            <w:tcW w:w="2513" w:type="dxa"/>
            <w:tcBorders>
              <w:bottom w:val="single" w:sz="8" w:space="0" w:color="000000"/>
            </w:tcBorders>
            <w:shd w:fill="FFFFFF" w:val="clear"/>
            <w:vAlign w:val="center"/>
          </w:tcPr>
          <w:p>
            <w:pPr>
              <w:pStyle w:val="TableContents"/>
              <w:bidi w:val="0"/>
              <w:spacing w:before="0" w:after="283"/>
              <w:jc w:val="right"/>
              <w:rPr>
                <w:color w:val="1F1F1F"/>
              </w:rPr>
            </w:pPr>
            <w:r>
              <w:rPr>
                <w:color w:val="1F1F1F"/>
              </w:rPr>
              <w:t>491</w:t>
            </w:r>
          </w:p>
        </w:tc>
        <w:tc>
          <w:tcPr>
            <w:tcW w:w="60" w:type="dxa"/>
            <w:tcBorders/>
            <w:shd w:fill="FFFFFF" w:val="clear"/>
            <w:tcMar>
              <w:bottom w:w="0" w:type="dxa"/>
            </w:tcMar>
            <w:vAlign w:val="center"/>
          </w:tcPr>
          <w:p>
            <w:pPr>
              <w:pStyle w:val="TableContents"/>
              <w:bidi w:val="0"/>
              <w:spacing w:before="0" w:after="283"/>
              <w:jc w:val="left"/>
              <w:rPr>
                <w:color w:val="1F1F1F"/>
              </w:rPr>
            </w:pPr>
            <w:r>
              <w:rPr>
                <w:color w:val="1F1F1F"/>
              </w:rPr>
              <w:t> </w:t>
            </w:r>
          </w:p>
        </w:tc>
        <w:tc>
          <w:tcPr>
            <w:tcW w:w="60" w:type="dxa"/>
            <w:tcBorders/>
            <w:shd w:fill="FFFFFF" w:val="clear"/>
            <w:tcMar>
              <w:bottom w:w="0" w:type="dxa"/>
            </w:tcMar>
            <w:vAlign w:val="center"/>
          </w:tcPr>
          <w:p>
            <w:pPr>
              <w:pStyle w:val="TableContents"/>
              <w:bidi w:val="0"/>
              <w:spacing w:before="0" w:after="283"/>
              <w:jc w:val="left"/>
              <w:rPr>
                <w:color w:val="1F1F1F"/>
              </w:rPr>
            </w:pPr>
            <w:r>
              <w:rPr>
                <w:color w:val="1F1F1F"/>
              </w:rPr>
              <w:t> </w:t>
            </w:r>
          </w:p>
        </w:tc>
        <w:tc>
          <w:tcPr>
            <w:tcW w:w="125" w:type="dxa"/>
            <w:tcBorders>
              <w:bottom w:val="single" w:sz="8" w:space="0" w:color="000000"/>
            </w:tcBorders>
            <w:shd w:fill="FFFFFF" w:val="clear"/>
            <w:vAlign w:val="center"/>
          </w:tcPr>
          <w:p>
            <w:pPr>
              <w:pStyle w:val="TableContents"/>
              <w:bidi w:val="0"/>
              <w:spacing w:before="0" w:after="283"/>
              <w:jc w:val="left"/>
              <w:rPr>
                <w:color w:val="1F1F1F"/>
              </w:rPr>
            </w:pPr>
            <w:r>
              <w:rPr>
                <w:color w:val="1F1F1F"/>
              </w:rPr>
              <w:t> </w:t>
            </w:r>
          </w:p>
        </w:tc>
        <w:tc>
          <w:tcPr>
            <w:tcW w:w="2294" w:type="dxa"/>
            <w:tcBorders>
              <w:bottom w:val="single" w:sz="8" w:space="0" w:color="000000"/>
            </w:tcBorders>
            <w:shd w:fill="FFFFFF" w:val="clear"/>
            <w:vAlign w:val="center"/>
          </w:tcPr>
          <w:p>
            <w:pPr>
              <w:pStyle w:val="TableContents"/>
              <w:bidi w:val="0"/>
              <w:spacing w:before="0" w:after="283"/>
              <w:jc w:val="right"/>
              <w:rPr>
                <w:color w:val="1F1F1F"/>
              </w:rPr>
            </w:pPr>
            <w:r>
              <w:rPr>
                <w:color w:val="1F1F1F"/>
              </w:rPr>
              <w:t>218,473</w:t>
            </w:r>
          </w:p>
        </w:tc>
        <w:tc>
          <w:tcPr>
            <w:tcW w:w="75" w:type="dxa"/>
            <w:tcBorders/>
            <w:shd w:fill="FFFFFF" w:val="clear"/>
            <w:tcMar>
              <w:bottom w:w="0" w:type="dxa"/>
            </w:tcMar>
            <w:vAlign w:val="center"/>
          </w:tcPr>
          <w:p>
            <w:pPr>
              <w:pStyle w:val="TableContents"/>
              <w:bidi w:val="0"/>
              <w:spacing w:before="0" w:after="283"/>
              <w:jc w:val="left"/>
              <w:rPr>
                <w:color w:val="1F1F1F"/>
              </w:rPr>
            </w:pPr>
            <w:r>
              <w:rPr>
                <w:color w:val="1F1F1F"/>
              </w:rPr>
              <w:t> </w:t>
            </w:r>
          </w:p>
        </w:tc>
      </w:tr>
      <w:tr>
        <w:trPr/>
        <w:tc>
          <w:tcPr>
            <w:tcW w:w="1415" w:type="dxa"/>
            <w:tcBorders/>
            <w:shd w:fill="CCEEFF" w:val="clear"/>
            <w:tcMar>
              <w:bottom w:w="0" w:type="dxa"/>
            </w:tcMar>
            <w:vAlign w:val="center"/>
          </w:tcPr>
          <w:p>
            <w:pPr>
              <w:pStyle w:val="TableContents"/>
              <w:bidi w:val="0"/>
              <w:spacing w:before="0" w:after="283"/>
              <w:jc w:val="left"/>
              <w:rPr>
                <w:color w:val="1F1F1F"/>
              </w:rPr>
            </w:pPr>
            <w:r>
              <w:rPr>
                <w:color w:val="1F1F1F"/>
              </w:rPr>
              <w:t>March</w:t>
            </w:r>
          </w:p>
        </w:tc>
        <w:tc>
          <w:tcPr>
            <w:tcW w:w="60" w:type="dxa"/>
            <w:tcBorders/>
            <w:shd w:fill="CCEEFF" w:val="clear"/>
            <w:tcMar>
              <w:bottom w:w="0" w:type="dxa"/>
            </w:tcMar>
            <w:vAlign w:val="center"/>
          </w:tcPr>
          <w:p>
            <w:pPr>
              <w:pStyle w:val="TableContents"/>
              <w:bidi w:val="0"/>
              <w:spacing w:before="0" w:after="283"/>
              <w:jc w:val="left"/>
              <w:rPr>
                <w:color w:val="1F1F1F"/>
              </w:rPr>
            </w:pPr>
            <w:r>
              <w:rPr>
                <w:color w:val="1F1F1F"/>
              </w:rPr>
              <w:t> </w:t>
            </w:r>
          </w:p>
        </w:tc>
        <w:tc>
          <w:tcPr>
            <w:tcW w:w="221" w:type="dxa"/>
            <w:tcBorders>
              <w:bottom w:val="single" w:sz="8" w:space="0" w:color="000000"/>
            </w:tcBorders>
            <w:shd w:fill="CCEEFF" w:val="clear"/>
            <w:vAlign w:val="center"/>
          </w:tcPr>
          <w:p>
            <w:pPr>
              <w:pStyle w:val="TableContents"/>
              <w:bidi w:val="0"/>
              <w:spacing w:before="0" w:after="283"/>
              <w:jc w:val="left"/>
              <w:rPr>
                <w:color w:val="1F1F1F"/>
              </w:rPr>
            </w:pPr>
            <w:r>
              <w:rPr>
                <w:color w:val="1F1F1F"/>
              </w:rPr>
              <w:t> </w:t>
            </w:r>
          </w:p>
        </w:tc>
        <w:tc>
          <w:tcPr>
            <w:tcW w:w="2513" w:type="dxa"/>
            <w:tcBorders>
              <w:bottom w:val="single" w:sz="8" w:space="0" w:color="000000"/>
            </w:tcBorders>
            <w:shd w:fill="CCEEFF" w:val="clear"/>
            <w:vAlign w:val="center"/>
          </w:tcPr>
          <w:p>
            <w:pPr>
              <w:pStyle w:val="TableContents"/>
              <w:bidi w:val="0"/>
              <w:spacing w:before="0" w:after="283"/>
              <w:jc w:val="right"/>
              <w:rPr>
                <w:color w:val="1F1F1F"/>
              </w:rPr>
            </w:pPr>
            <w:r>
              <w:rPr>
                <w:color w:val="1F1F1F"/>
              </w:rPr>
              <w:t>29,441</w:t>
            </w:r>
          </w:p>
        </w:tc>
        <w:tc>
          <w:tcPr>
            <w:tcW w:w="60" w:type="dxa"/>
            <w:tcBorders/>
            <w:shd w:fill="CCEEFF" w:val="clear"/>
            <w:tcMar>
              <w:bottom w:w="0" w:type="dxa"/>
            </w:tcMar>
            <w:vAlign w:val="center"/>
          </w:tcPr>
          <w:p>
            <w:pPr>
              <w:pStyle w:val="TableContents"/>
              <w:bidi w:val="0"/>
              <w:spacing w:before="0" w:after="283"/>
              <w:jc w:val="left"/>
              <w:rPr>
                <w:color w:val="1F1F1F"/>
              </w:rPr>
            </w:pPr>
            <w:r>
              <w:rPr>
                <w:color w:val="1F1F1F"/>
              </w:rPr>
              <w:t> </w:t>
            </w:r>
          </w:p>
        </w:tc>
        <w:tc>
          <w:tcPr>
            <w:tcW w:w="60" w:type="dxa"/>
            <w:tcBorders/>
            <w:shd w:fill="CCEEFF" w:val="clear"/>
            <w:tcMar>
              <w:bottom w:w="0" w:type="dxa"/>
            </w:tcMar>
            <w:vAlign w:val="center"/>
          </w:tcPr>
          <w:p>
            <w:pPr>
              <w:pStyle w:val="TableContents"/>
              <w:bidi w:val="0"/>
              <w:spacing w:before="0" w:after="283"/>
              <w:jc w:val="left"/>
              <w:rPr>
                <w:color w:val="1F1F1F"/>
              </w:rPr>
            </w:pPr>
            <w:r>
              <w:rPr>
                <w:color w:val="1F1F1F"/>
              </w:rPr>
              <w:t> </w:t>
            </w:r>
          </w:p>
        </w:tc>
        <w:tc>
          <w:tcPr>
            <w:tcW w:w="125" w:type="dxa"/>
            <w:tcBorders>
              <w:bottom w:val="single" w:sz="8" w:space="0" w:color="000000"/>
            </w:tcBorders>
            <w:shd w:fill="CCEEFF" w:val="clear"/>
            <w:vAlign w:val="center"/>
          </w:tcPr>
          <w:p>
            <w:pPr>
              <w:pStyle w:val="TableContents"/>
              <w:bidi w:val="0"/>
              <w:spacing w:before="0" w:after="283"/>
              <w:jc w:val="left"/>
              <w:rPr>
                <w:color w:val="1F1F1F"/>
              </w:rPr>
            </w:pPr>
            <w:r>
              <w:rPr>
                <w:color w:val="1F1F1F"/>
              </w:rPr>
              <w:t> </w:t>
            </w:r>
          </w:p>
        </w:tc>
        <w:tc>
          <w:tcPr>
            <w:tcW w:w="2294" w:type="dxa"/>
            <w:tcBorders>
              <w:bottom w:val="single" w:sz="8" w:space="0" w:color="000000"/>
            </w:tcBorders>
            <w:shd w:fill="CCEEFF" w:val="clear"/>
            <w:vAlign w:val="center"/>
          </w:tcPr>
          <w:p>
            <w:pPr>
              <w:pStyle w:val="TableContents"/>
              <w:bidi w:val="0"/>
              <w:spacing w:before="0" w:after="283"/>
              <w:jc w:val="right"/>
              <w:rPr>
                <w:color w:val="1F1F1F"/>
              </w:rPr>
            </w:pPr>
            <w:r>
              <w:rPr>
                <w:color w:val="1F1F1F"/>
              </w:rPr>
              <w:t>13,108,357</w:t>
            </w:r>
          </w:p>
        </w:tc>
        <w:tc>
          <w:tcPr>
            <w:tcW w:w="75" w:type="dxa"/>
            <w:tcBorders/>
            <w:shd w:fill="CCEEFF" w:val="clear"/>
            <w:tcMar>
              <w:bottom w:w="0" w:type="dxa"/>
            </w:tcMar>
            <w:vAlign w:val="center"/>
          </w:tcPr>
          <w:p>
            <w:pPr>
              <w:pStyle w:val="TableContents"/>
              <w:bidi w:val="0"/>
              <w:spacing w:before="0" w:after="283"/>
              <w:jc w:val="left"/>
              <w:rPr>
                <w:color w:val="1F1F1F"/>
              </w:rPr>
            </w:pPr>
            <w:r>
              <w:rPr>
                <w:color w:val="1F1F1F"/>
              </w:rPr>
              <w:t> </w:t>
            </w:r>
          </w:p>
        </w:tc>
      </w:tr>
      <w:tr>
        <w:trPr/>
        <w:tc>
          <w:tcPr>
            <w:tcW w:w="1415" w:type="dxa"/>
            <w:tcBorders/>
            <w:shd w:fill="FFFFFF" w:val="clear"/>
            <w:tcMar>
              <w:bottom w:w="0" w:type="dxa"/>
            </w:tcMar>
            <w:vAlign w:val="center"/>
          </w:tcPr>
          <w:p>
            <w:pPr>
              <w:pStyle w:val="TableContents"/>
              <w:bidi w:val="0"/>
              <w:spacing w:before="0" w:after="283"/>
              <w:jc w:val="left"/>
              <w:rPr>
                <w:b/>
                <w:color w:val="1F1F1F"/>
              </w:rPr>
            </w:pPr>
            <w:r>
              <w:rPr>
                <w:b/>
                <w:color w:val="1F1F1F"/>
              </w:rPr>
              <w:t>Total</w:t>
            </w:r>
          </w:p>
        </w:tc>
        <w:tc>
          <w:tcPr>
            <w:tcW w:w="60" w:type="dxa"/>
            <w:tcBorders/>
            <w:shd w:fill="FFFFFF" w:val="clear"/>
            <w:tcMar>
              <w:bottom w:w="0" w:type="dxa"/>
            </w:tcMar>
            <w:vAlign w:val="center"/>
          </w:tcPr>
          <w:p>
            <w:pPr>
              <w:pStyle w:val="TableContents"/>
              <w:bidi w:val="0"/>
              <w:spacing w:before="0" w:after="283"/>
              <w:jc w:val="left"/>
              <w:rPr>
                <w:color w:val="1F1F1F"/>
              </w:rPr>
            </w:pPr>
            <w:r>
              <w:rPr>
                <w:color w:val="1F1F1F"/>
              </w:rPr>
              <w:t> </w:t>
            </w:r>
          </w:p>
        </w:tc>
        <w:tc>
          <w:tcPr>
            <w:tcW w:w="221" w:type="dxa"/>
            <w:tcBorders>
              <w:bottom w:val="single" w:sz="8" w:space="0" w:color="000000"/>
            </w:tcBorders>
            <w:shd w:fill="FFFFFF" w:val="clear"/>
            <w:vAlign w:val="center"/>
          </w:tcPr>
          <w:p>
            <w:pPr>
              <w:pStyle w:val="TableContents"/>
              <w:bidi w:val="0"/>
              <w:spacing w:before="0" w:after="283"/>
              <w:jc w:val="left"/>
              <w:rPr>
                <w:color w:val="1F1F1F"/>
              </w:rPr>
            </w:pPr>
            <w:r>
              <w:rPr>
                <w:color w:val="1F1F1F"/>
              </w:rPr>
              <w:t> </w:t>
            </w:r>
          </w:p>
        </w:tc>
        <w:tc>
          <w:tcPr>
            <w:tcW w:w="2513" w:type="dxa"/>
            <w:tcBorders>
              <w:bottom w:val="single" w:sz="8" w:space="0" w:color="000000"/>
            </w:tcBorders>
            <w:shd w:fill="FFFFFF" w:val="clear"/>
            <w:vAlign w:val="center"/>
          </w:tcPr>
          <w:p>
            <w:pPr>
              <w:pStyle w:val="TableContents"/>
              <w:bidi w:val="0"/>
              <w:spacing w:before="0" w:after="283"/>
              <w:jc w:val="right"/>
              <w:rPr>
                <w:b/>
                <w:color w:val="1F1F1F"/>
              </w:rPr>
            </w:pPr>
            <w:r>
              <w:rPr>
                <w:b/>
                <w:color w:val="1F1F1F"/>
              </w:rPr>
              <w:t>33,858</w:t>
            </w:r>
          </w:p>
        </w:tc>
        <w:tc>
          <w:tcPr>
            <w:tcW w:w="60" w:type="dxa"/>
            <w:tcBorders/>
            <w:shd w:fill="FFFFFF" w:val="clear"/>
            <w:tcMar>
              <w:bottom w:w="0" w:type="dxa"/>
            </w:tcMar>
            <w:vAlign w:val="center"/>
          </w:tcPr>
          <w:p>
            <w:pPr>
              <w:pStyle w:val="TableContents"/>
              <w:bidi w:val="0"/>
              <w:spacing w:before="0" w:after="283"/>
              <w:jc w:val="left"/>
              <w:rPr>
                <w:color w:val="1F1F1F"/>
              </w:rPr>
            </w:pPr>
            <w:r>
              <w:rPr>
                <w:color w:val="1F1F1F"/>
              </w:rPr>
              <w:t> </w:t>
            </w:r>
          </w:p>
        </w:tc>
        <w:tc>
          <w:tcPr>
            <w:tcW w:w="60" w:type="dxa"/>
            <w:tcBorders/>
            <w:shd w:fill="FFFFFF" w:val="clear"/>
            <w:tcMar>
              <w:bottom w:w="0" w:type="dxa"/>
            </w:tcMar>
            <w:vAlign w:val="center"/>
          </w:tcPr>
          <w:p>
            <w:pPr>
              <w:pStyle w:val="TableContents"/>
              <w:bidi w:val="0"/>
              <w:spacing w:before="0" w:after="283"/>
              <w:jc w:val="left"/>
              <w:rPr>
                <w:color w:val="1F1F1F"/>
              </w:rPr>
            </w:pPr>
            <w:r>
              <w:rPr>
                <w:color w:val="1F1F1F"/>
              </w:rPr>
              <w:t> </w:t>
            </w:r>
          </w:p>
        </w:tc>
        <w:tc>
          <w:tcPr>
            <w:tcW w:w="125" w:type="dxa"/>
            <w:tcBorders>
              <w:bottom w:val="single" w:sz="8" w:space="0" w:color="000000"/>
            </w:tcBorders>
            <w:shd w:fill="FFFFFF" w:val="clear"/>
            <w:vAlign w:val="center"/>
          </w:tcPr>
          <w:p>
            <w:pPr>
              <w:pStyle w:val="TableContents"/>
              <w:bidi w:val="0"/>
              <w:spacing w:before="0" w:after="283"/>
              <w:jc w:val="left"/>
              <w:rPr>
                <w:color w:val="1F1F1F"/>
              </w:rPr>
            </w:pPr>
            <w:r>
              <w:rPr>
                <w:color w:val="1F1F1F"/>
              </w:rPr>
              <w:t> </w:t>
            </w:r>
          </w:p>
        </w:tc>
        <w:tc>
          <w:tcPr>
            <w:tcW w:w="2294" w:type="dxa"/>
            <w:tcBorders>
              <w:bottom w:val="single" w:sz="8" w:space="0" w:color="000000"/>
            </w:tcBorders>
            <w:shd w:fill="FFFFFF" w:val="clear"/>
            <w:vAlign w:val="center"/>
          </w:tcPr>
          <w:p>
            <w:pPr>
              <w:pStyle w:val="TableContents"/>
              <w:bidi w:val="0"/>
              <w:spacing w:before="0" w:after="283"/>
              <w:jc w:val="right"/>
              <w:rPr>
                <w:b/>
                <w:color w:val="1F1F1F"/>
              </w:rPr>
            </w:pPr>
            <w:r>
              <w:rPr>
                <w:b/>
                <w:color w:val="1F1F1F"/>
              </w:rPr>
              <w:t>15,074,611</w:t>
            </w:r>
          </w:p>
        </w:tc>
        <w:tc>
          <w:tcPr>
            <w:tcW w:w="75" w:type="dxa"/>
            <w:tcBorders/>
            <w:shd w:fill="FFFFFF" w:val="clear"/>
            <w:tcMar>
              <w:bottom w:w="0" w:type="dxa"/>
            </w:tcMar>
            <w:vAlign w:val="center"/>
          </w:tcPr>
          <w:p>
            <w:pPr>
              <w:pStyle w:val="TableContents"/>
              <w:bidi w:val="0"/>
              <w:spacing w:before="0" w:after="283"/>
              <w:jc w:val="left"/>
              <w:rPr>
                <w:color w:val="1F1F1F"/>
              </w:rPr>
            </w:pPr>
            <w:r>
              <w:rPr>
                <w:color w:val="1F1F1F"/>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conversions, the Company’s outstanding common stock increased by approximately 192%, which will result in a dilution to existing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and analysis is based on our consolidated financial statements, which have been prepared in accordance with U.S. GAAP. The preparation of these consolidated financial statements requires us to make estimates and judgments that affect the reported amounts of assets, liabilities, revenues and expenses and the disclosure of contingent assets and liabilities in our consolidated financial statements. An accounting policy is deemed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While the Company’s significant accounting policies and estimates are further outlined in Note 1 - Business and Summary of Significant Accounting Policies and Estimates of the consolidated financial statements, Management believes that none of these give rise to critical accounting policies or estimates in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137" w:type="dxa"/>
        <w:jc w:val="left"/>
        <w:tblInd w:w="0" w:type="dxa"/>
        <w:tblLayout w:type="fixed"/>
        <w:tblCellMar>
          <w:top w:w="0" w:type="dxa"/>
          <w:left w:w="0" w:type="dxa"/>
          <w:bottom w:w="0" w:type="dxa"/>
          <w:right w:w="0" w:type="dxa"/>
        </w:tblCellMar>
      </w:tblPr>
      <w:tblGrid>
        <w:gridCol w:w="6950"/>
        <w:gridCol w:w="60"/>
        <w:gridCol w:w="164"/>
        <w:gridCol w:w="1329"/>
        <w:gridCol w:w="105"/>
        <w:gridCol w:w="79"/>
        <w:gridCol w:w="164"/>
        <w:gridCol w:w="1191"/>
        <w:gridCol w:w="95"/>
      </w:tblGrid>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8,822,300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184,796</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1,197,162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4,195,000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13,202,096</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5,761,720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(13,202,096</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(5,761,720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(127,297</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(415,810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(191,068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(37,707</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988,500</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908,943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(742,018</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convertible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91,943</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358,279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3,588,106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voluntary conversion of convertible debt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monthly redemptions of convertible debt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settlements of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3,763,780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391,137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(6,152,857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(6,159,191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discontinued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(6,259,191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dividend arising from preferred stock and warrant down-round provision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(2,562,867</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(19,528,742</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(6,346,795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common share, basic and diluted -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outstanding, basic and diluted (after stock split)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2,407,817</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361,587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from $4.2 million for the year ended December 31, 2024 to $8.8 million for the year ended December 31, 2025. This is primarily due to an increase in investor relation fees of $1.4 million as we paid consultants to help raise capital, plus $3.0 million increase in consultant fees and $0.9 million in master service fees offset by a decrease in payroll expenses of $1.0 million and decrease in insurance expense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from $1.2 million for the year ended December, 2024, to $0.2 million for the year ended December 31, 2025. This was primarily due to all research and development being slowed down in 2025 due to lack of funding, resulting in decreases in QN-302 program expenses of approximately $200,000 and a decrease in Marizyme research expense of $700,000.</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Loss Expense – Short-Term Note Receivable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 increased from $0.4 million for the year ended December, 2024, to $4.2  million for the year ended December 31, 2025. This is due to Marizyme’s debt increasing from $2.4 million for the year ended December 31, 2024 to $4.9 million for the year ended December 31, 2025, as well as the likelihood of our being able to collect being assessed at a significantly lower rate than prior year.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experienced a $0.2 million gain in other income due to the change in fair value of the warrant liabilities described above. The estimated fair value of warrant liabilities decreased to $0.1 million as of December 31, 2025 from $0.3 million as of December 31, 2024 primarily due to changes in our stock price and expiration of warrants during the prior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experienced a $0.4 million gain in other income because of the change in fair value of the warrant liabilities. The estimated fair value of warrant liabilities increased to $0.3 million as of December 31, 2024 from $0.1 million as of December 31, 2023 due to the issuance of new liability classified warrants with an initial fair value of $0.6 million, the reclassification at fair value of equity classified warrants to warrant liabilities of $0.3 million, offset by the reclassification at fair value to equity of liability classified warrants of $0.2 million, and the $0.4 million gain on the change in fair value of the warrant liabilities due to an associated decrease in the market price of our common stock and the expiration of liability classified warrants during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a decline in our stock price would result in a decline in the fair value of our warrant liabilities, generating a gain, while an increase in our stock price would result in an increase in the fair value of our warrant liabilities, generating a loss. Because the fair value of the warrant liabilities will be determined each quarter on a “mark-to-market” basis, this item is likely to continue to result in variability in our future quarterly Consolidated Statements of Operations based on unpredictable changes in our public market common stock price and the number of liability classified warrants outstanding at the end of each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experienced a gain of approximately $0.2 million on change in fair value of derivative liabilities due to the issuance and subsequent extinguishment of the 2024 Alpha Debenture and 2024 Chen Debenture during the year. There were no derivative liabilities at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Convertible Debt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experienced an approximately $38,000 gain on change in fair value of convertible debt, compared to no change for the year ended December 31, 2024. We did not hold any convertible debt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$0.7 million in interest income during the year ended December 31, 2025 compared to $0.1 interest income during the year ended December 31, 2024. The increase was due to interest accrued on the Marizyme Notes, which increased significantly in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$1.0 million in interest expense during the year ended December 31, 2025 compared to interest expense of $0.9 million during the year ended December 31, 2024. The increase was due to the short term promissory notes carrying higher interest rates than the convertible debt carried in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Issuance of Convertible Debt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incurred a loss on issuance of convertible debt of approximately $358,000 due to the fair value of the 2024 Alpha Debenture and derivative liabilities exceeding the cash proceeds. During the year ended December 31, 2025 we incurred a loss on issuance of convertible debt of approximately $92,000 due to the fair value of the 2025 Convertible Note and derivative liabilities exceeding the cash proceeds.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on Digital Assets</w:t>
      </w:r>
    </w:p>
    <w:p>
      <w:pPr>
        <w:pStyle w:val="TextBody"/>
        <w:shd w:fill="FFFFFF" w:val="clear"/>
        <w:bidi w:val="0"/>
        <w:spacing w:lineRule="auto" w:line="256"/>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experienced an approximately $3.6 million loss on digital assets, compared to no change for the year ended December 31, 2024. We did not hold any digital assets in 2024.</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Voluntary Conversion of Convertible Debt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recognized a gain of approximately $56,000 on the voluntary conversion of convertible debt into common stock, due to the issuance of 58,378 shares of common stock with a fair value of approximately $674,000 upon partial voluntary conversion of the 2022 Alpha Debenture at a weighted average share price of $13.00, resulting in a gain of approximately $85,000, offset by a loss of approximately $29,000 from the issuance of 7,842 shares of common stock with a fair value of approximately $61,000 upon Alpha’s partial voluntary conversion of the 2024 Alpha Debenture at a weighted average share price of $6.50. There was no debt conversions in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Debt Extinguishment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recognized a loss on debt extinguishment of approximately $57,000. In connection with the closing of the Company’s private placement transaction and issuance of Series A-2 Preferred Stock, we used approximately $531,000 of the proceeds to repay the outstanding principal and accrued interest on the 2024 Alpha Debenture, in full settlement of the obligation, resulting in a debt extinguishment loss of approximately $68,000. This loss was offset by a debt extinguishment gain of approximately $13,000 from the issuance of 1,154 shares of newly designated Series A-2 Preferred Stock, in full settlement of the obligation of $1,154,000 in outstanding principal and interest on the 2024 Chen Debenture. There was no debt extinguished in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Monthly Redemptions of Convertible Debt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issued 45,496 shares of common stock with a fair value of approximately $903,000, in lieu of cash for monthly redemptions of $660,000 principal and approximately $34,000 accrued interest redeemed, pursuant to the terms of the 2022 Alpha Debenture at a weighted average share price of $14.51. Upon redemption in shares, we recognized a loss on monthly redemptions of convertible debt into common stock of approximately $209,000. There was no redemptions of convertible debt in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Settlements of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settled $395,000 of our outstanding accounts payable for a gain of approximately $348,000. There were no such settlements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immaterial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loss of approximately $0.1 million on disposal of discontinued operations during the year ended December 31, 2024, which was generated due to the early settlement of an escrow account from the sale of Qualigen, Inc. There were no such discontinued operations in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is weak. As of December 31, 2025, we had approximately $19.3 million in cash and accounts payable of $1.3 million. We are in arrears on accounts payable to important partners. We have incurred recurring losses from operations and have an accumulated deficit of $140.0 million at December 31, 2025. We expect to continue to incur losses subsequent to the consolidated balance sheet date of December 31, 2025. For the years ended December 31, 2025 and 2024, we used cash of $7.0 million and $6.3 million, respectively, in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liabilities at December 31, 2025 include approximately $1.3 million of accounts payable, $1.6 million of related party payables, approximately $123,000 of accrued expenses and other current liabilities, approximately $142,000 of short term convertible debt, and approximately $142,000 in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have net losses and negative cash flow from operations, which will challenge our liquidity. While we are establishing cryptocurrency treasury operations, it is newly established and there are no guarantees it will generate revenue. These factors raise substantial doubt regarding our ability to continue as a going concern for the one-year period following the date that the financial statements in this Annual Report were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raised approximately $45.7 million in new equity consisting of $3.3 million from nine investors as short-term borrowings, $0.2 million from Alpha Capital Anstalt upon the issuance of a short-term convertible promissory note maturing in January 2026, $0.1 million from an investor in exchange for a short-term promissory note with zero interest due six months after issuance, $4.3  million (net of issuance costs) upon closing of a private placement transaction resulting in the sale of 4,500 shares of newly designated Series A-3 Preferred Stock at a purchase price of $1,000 per share, and $37.7 million (net of issuance costs) upon closing of a subscription agreement (the “Subscription Agreement” or “Offering”) with Future Intelligent Electric Inc. (“Faraday”) resulting in the sale of 337,432 shares of the Company’s common stock and 39,943  shares of a newly created Series B Convertible Preferred Stock. Additionally, during the twelve months ended December 31, 2025, the Company repaid approximately $4.5 million of outstanding promissory notes. These equity and debt capital raises resulted in approximately $45.5 million in cash provided by financing activities during the year ended December 31, 2025, compared to $9.0 million in new equity and debt issued during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third-party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we will continue as a going concern. The financial statements do not include any adjustments that would be necessary should we be unable to continue as a going concern, and therefore, be required to liquidate its assets and discharge its liabilities in other than the normal course of business and at amounts that may differ from those reflected in the accompanying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material contractual obligations that are not fully recorded on our consolidated balance sheets or fully disclosed in the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and Sponsored Research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obligations under various license agreements to make future payments to third parties that become due and payable on the achievement of certain development, regulatory and commercial milestones (such as the start of a clinical trial, filing for product approval with the FDA or other regulatory agencies, product approval by the FDA or other regulatory agencies, product launch or product sales) or on the sublicense of our rights to another party. We have not included these commitments on our balance sheet because the achievement and timing of these events is not determinable. Certain milestones are in advance of receipt of revenue from the sale of products and, therefore, we may require additional debt or equity capital to make such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we entered into a License Agreement with UCL Business Limited to obtain an exclusive worldwide in-license of a genomic quadruplex (G4)-selective transcription inhibitor drug development program which had been developed at University College London, including lead and back-up compounds, preclinical data and a patent estate. (UCL Business Limited is the commercialization company for University College London.) We are further developing the program’s lead compound under the name QN-302, and this work is currently still underway. The License Agreement requires (if and when applicable) tiered royalty payments in the low to mid-single digits, clinical/regulatory/sales milestone payments, and sharing of a percentage of any non-royalty sublicensing consideration paid to the Company. In November 2023, we became obligated to pay $100,000 to UCL Business Limited upon the first patient dosing of QN-302, which was paid in January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Marizyme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2024, we entered into a Co-Development Agreement with Marizyme, Inc. (“Marizyme”). Under the Co-Development Agreement (as amended on August 6, 2024), we agreed to pay Marizyme a Funding Payment of up to $1,750,000 and an Exclusivity Fee of $200,000. The Exclusivity Fee of $200,000 and a Funding Payment of $500,000 was paid to Marizyme on April 12, 2024. The Exclusivity Fee entitled us to an exclusivity period until May 31, 2024 for purposes of proposing and outlining a broader strategic relationship with Marizyme with regard to Marizyme’s DuraGraft business. The Funding Payment is designed to provide financial support for commercialization of Marizyme’s DuraGraft™ vascular conduit solution, which is indicated for adult patients undergoing coronary artery bypass grafting surgeries and is intended for the flushing and storage of the saphenous vein grafts used in coronary artery bypass grafting surgery. This work is still currently underway. In return for the Funding Payment we will receive quarterly a 33% payment in the nature of royalties on any Net Sales (as defined with a meaning tantamount to gross profit on net sales) of DuraGraft, capped at double the amount of the Funding Payment cash provided. No such payments-in-the-nature-of-royalties would accrue until after DuraGraft has been launched in the United States and a cumulative total of $500,000 of DuraGraft Net Sales have been made in the United States.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Service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including with clinical sites, contract research organizations, and other professional service providers for the conduct of clinical trials, contract manufacturers for the production of our product candidates, contract research service providers for preclinical research studies, professional consultants for expert advice and vendors for the sourcing of clinical and laboratory supplies and materials. These contracts generally provide for termination on notice, and therefore are cancelable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significant sources and uses of cash for the periods set forth below:</w:t>
      </w:r>
    </w:p>
    <w:p>
      <w:pPr>
        <w:pStyle w:val="TextBody"/>
        <w:bidi w:val="0"/>
        <w:spacing w:before="0" w:after="0"/>
        <w:ind w:left="0" w:right="0" w:firstLine="720"/>
        <w:jc w:val="both"/>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570"/>
        <w:gridCol w:w="60"/>
        <w:gridCol w:w="125"/>
        <w:gridCol w:w="1010"/>
        <w:gridCol w:w="80"/>
        <w:gridCol w:w="60"/>
        <w:gridCol w:w="125"/>
        <w:gridCol w:w="905"/>
        <w:gridCol w:w="95"/>
      </w:tblGrid>
      <w:tr>
        <w:trPr/>
        <w:tc>
          <w:tcPr>
            <w:tcW w:w="25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(6,951,458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(6,327,503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(15,881,487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(1,907,400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40,991,044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9,007,708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18,158,099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772,805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operating activities used $7.0 million of cash, primarily resulting from a loss from continuing operations of $16.9 million. Cash flows from operating activities for the year ended December 31, 2025 were positively impacted by adjustments for stock based compensation of approximately $300,   legal expenses that were deducted from the issuance of convertible debt of $20,000, $0.3 million worth of common stock issued to a consultant, a $4.2 million provision for credit losses on short term notes receivable, $1.0 million of amortization of premium on promissory notes, $2.7 million in losses on the change in fair market value of digital assets, approximately $40,000    in payments made using digital assets, a loss on issuance of convertible debt of $0.1 million, changes in prepaid expenses and other current assets of $0.5 million, and changes in accrued expenses and other liabilities of $1.  4 million. Cash flows from operating activities for the year ended December 31, 2025 were negatively impacted by adjustments for a $0.1 million change in the fair value of warrant liabilities, accrued interest on short term notes receivable of $0.6 million, change in accounts payable of $0.3 million </w:t>
      </w:r>
      <w:r>
        <w:rPr>
          <w:rFonts w:ascii="Times New Roman;Times;Serif" w:hAnsi="Times New Roman;Times;Serif"/>
          <w:b w:val="false"/>
          <w:i w:val="false"/>
          <w:caps w:val="false"/>
          <w:smallCaps w:val="false"/>
          <w:color w:val="242424"/>
          <w:sz w:val="20"/>
        </w:rPr>
        <w:t>and a loss on the change in fair value of convertible debt of approximately $37,000.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operating activities used $6.3 million of cash, primarily resulting from a net loss of $6.3 million. Cash flows from operating activities for the year ended December 31, 2024 were positively impacted by adjustments for accretion of discount on convertible debt of $0.6 million, a loss on issuance of convertible debt of approximately $0.4 million, a loss on debt extinguishment of approximately $57,000, change in provision for non-cash credit losses on short-term notes receivable of $0.4 million, a loss on monthly redemptions of convertible debt into common stock of $0.2 million, and stock based compensation of $0.1 million. Cash flows from operating activities for the year ended December 31, 2024 were negatively impacted by adjustments for a gain on change in fair value of warrant liabilities of $0.4 million, a $0.3 million gain on settlement of accounts payable, a $0.4 million decrease in accounts payable, a $0.2 million increase in prepaid expenses and other assets, a $0.2 million gain on change in fair value of derivative liabilities, a $0.1 million decrease in accrued expenses and other current liabilities, accrued interest receivable on the Marizyme notes of $0.1 million, and a gain on voluntary conversion of convertible debt of approximately $56,000.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net cash used by investing activities was approximately $15.8 million resulting from the issuance of $1.9 million in notes receivable to Marizyme, purchases of intangible asstes of approximately $93,000, and purchases of digital assets of $16.5 million, offset by $2.6 million in proceeds from the sale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net cash used by investing activities was approximately $1.9 million resulting from the issuance of $2.3 million in notes receivable to Marizyme, offset by $0.4 million in proceeds from the disposal of discontinued operations, due to the release of escrow from the sale of Qualigen,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2025 was $41.0 million, which resulted from the issuance of short-term debt in the amount of $3.4 million, the issuance of convertible debt in the amount of $0.2 million, the issuance of preferred shares in the amount of $38.9 million, the issuance of common stock and warrants in the amount of $3.1 million, offset by repayment of convertible debt of $0.1 million and the repayment of promissory notes of $4.4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2024, was approximately $9.0 million, resulting from $4.6 million in proceeds from the sale of Series A-2 Preferred Stock, approximately $3.1 million in proceeds from the sale of common stock and prefunded warrants, $2.0 million in proceeds from the issuance of short term debt, $1.5 million from the issuance of convertible debt, $0.4 million in proceeds from warrant exercises, offset by $2.0 million in short term debt repayments, and $0.5 million in convertible debt repayments.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_013"/>
      <w:bookmarkEnd w:id="57"/>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Exchange Act, we are not required to provide the information in this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8" w:name="a_014"/>
      <w:bookmarkEnd w:id="58"/>
      <w:r>
        <w:rPr>
          <w:rFonts w:ascii="Times New Roman;Times;Serif" w:hAnsi="Times New Roman;Times;Serif"/>
          <w:b/>
          <w:i w:val="false"/>
          <w:caps/>
          <w:sz w:val="20"/>
        </w:rPr>
        <w:t>Item 8. Financial Statements and Supplementary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b w:val="false"/>
                  <w:i w:val="false"/>
                  <w:caps w:val="false"/>
                  <w:smallCaps w:val="false"/>
                  <w:sz w:val="20"/>
                </w:rPr>
                <w:t>Report of Independent Registered Public Accounting Firm - HTL International, LLC</w:t>
              </w:r>
            </w:hyperlink>
            <w:r>
              <w:rPr>
                <w:rFonts w:ascii="Times New Roman;Times;Serif" w:hAnsi="Times New Roman;Times;Serif"/>
                <w:b w:val="false"/>
                <w:i w:val="false"/>
                <w:caps w:val="false"/>
                <w:smallCaps w:val="false"/>
                <w:sz w:val="20"/>
              </w:rPr>
              <w:t xml:space="preserve"> (PCAOB ID: </w:t>
            </w:r>
            <w:bookmarkStart w:id="59" w:name="xdx_90D_edei--AuditorFirmId_c20250101__2"/>
            <w:bookmarkEnd w:id="59"/>
            <w:r>
              <w:rPr>
                <w:rFonts w:ascii="Times New Roman;Times;Serif" w:hAnsi="Times New Roman;Times;Serif"/>
                <w:b w:val="false"/>
                <w:i w:val="false"/>
                <w:caps w:val="false"/>
                <w:smallCaps w:val="false"/>
                <w:sz w:val="20"/>
              </w:rPr>
              <w:t>7000)</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960" w:type="dxa"/>
            <w:tcBorders/>
            <w:shd w:fill="FFFF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Report of Independent Registered Public Accounting Firm - WithumSmith+Brown, PC</w:t>
              </w:r>
            </w:hyperlink>
            <w:r>
              <w:rPr>
                <w:rFonts w:ascii="Times New Roman;Times;Serif" w:hAnsi="Times New Roman;Times;Serif"/>
                <w:b w:val="false"/>
                <w:i w:val="false"/>
                <w:caps w:val="false"/>
                <w:smallCaps w:val="false"/>
                <w:sz w:val="20"/>
              </w:rPr>
              <w:t xml:space="preserve"> (PCAOB ID: </w:t>
            </w:r>
            <w:bookmarkStart w:id="60" w:name="xdx_908_edei--AuditorFirmId_c20240101__2"/>
            <w:bookmarkEnd w:id="60"/>
            <w:r>
              <w:rPr>
                <w:rFonts w:ascii="Times New Roman;Times;Serif" w:hAnsi="Times New Roman;Times;Serif"/>
                <w:b w:val="false"/>
                <w:i w:val="false"/>
                <w:caps w:val="false"/>
                <w:smallCaps w:val="false"/>
                <w:sz w:val="20"/>
              </w:rPr>
              <w:t>100)</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960"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Audited Consolidated Balance Sheets at December 31, 2025 and 2024</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960" w:type="dxa"/>
            <w:tcBorders/>
            <w:shd w:fill="FFFF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Audited Consolidated Statements of Operations and Comprehensive Loss for the years ended December 31, 2025 and 2024</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960"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Audited Consolidated Statements of Shareholders’ Equity for the years ended December 31, 2025 and 2024</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960" w:type="dxa"/>
            <w:tcBorders/>
            <w:shd w:fill="FFFFFF" w:val="clear"/>
            <w:vAlign w:val="center"/>
          </w:tcPr>
          <w:p>
            <w:pPr>
              <w:pStyle w:val="TableContents"/>
              <w:bidi w:val="0"/>
              <w:spacing w:before="0" w:after="283"/>
              <w:jc w:val="left"/>
              <w:rPr/>
            </w:pPr>
            <w:hyperlink w:anchor="fin_006">
              <w:r>
                <w:rPr>
                  <w:rStyle w:val="InternetLink"/>
                  <w:rFonts w:ascii="Times New Roman;Times;Serif" w:hAnsi="Times New Roman;Times;Serif"/>
                  <w:b w:val="false"/>
                  <w:i w:val="false"/>
                  <w:caps w:val="false"/>
                  <w:smallCaps w:val="false"/>
                  <w:sz w:val="20"/>
                </w:rPr>
                <w:t>Audited Consolidated Statements of Cash Flow for the years ended December 31, 2025 and 2024</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960" w:type="dxa"/>
            <w:tcBorders/>
            <w:shd w:fill="CCEEFF" w:val="clear"/>
            <w:vAlign w:val="center"/>
          </w:tcPr>
          <w:p>
            <w:pPr>
              <w:pStyle w:val="TableContents"/>
              <w:bidi w:val="0"/>
              <w:spacing w:before="0" w:after="283"/>
              <w:jc w:val="left"/>
              <w:rPr/>
            </w:pPr>
            <w:hyperlink w:anchor="fin_007">
              <w:r>
                <w:rPr>
                  <w:rStyle w:val="InternetLink"/>
                  <w:rFonts w:ascii="Times New Roman;Times;Serif" w:hAnsi="Times New Roman;Times;Serif"/>
                  <w:b w:val="false"/>
                  <w:i w:val="false"/>
                  <w:caps w:val="false"/>
                  <w:smallCaps w:val="false"/>
                  <w:sz w:val="20"/>
                </w:rPr>
                <w:t>Notes to Audited Consolidated 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 w:name="fin_001"/>
      <w:bookmarkEnd w:id="6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of the financial statements for the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AIxCrypto Holdings, Inc.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62" w:name="xdx_98C_edei--AuditorOpinionTextBlock_c2"/>
      <w:bookmarkEnd w:id="62"/>
      <w:r>
        <w:rPr>
          <w:rFonts w:ascii="Times New Roman;Times;Serif" w:hAnsi="Times New Roman;Times;Serif"/>
          <w:b w:val="false"/>
          <w:i w:val="false"/>
          <w:caps w:val="false"/>
          <w:smallCaps w:val="false"/>
          <w:sz w:val="20"/>
        </w:rPr>
        <w:t>We have audited the accompanying balance sheet of AIxCrypto Holdings, Inc. (the “Company”) as of December 31, 2025, and the related statement of operations and comprehensive loss, changes in shareholders’ deficit,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year ended December 31, 2025, in accordance with accounting principles generally accepted in the United States of America.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2 to the financial statements, the Company has suffered recurring losses from operations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were communicated or required to be communicated to the audit committee and that: (1) relates to accounts or disclosures that are material to the financial statements and (2) involves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Existence of and Rights to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 to the financial statements, as of December 31, 2025, the Company recorded digital assets with a fair value of approximately $10.3 million, which were held in a third-party custody wallet.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evaluation of the existence of, and the Company’s rights to, its digital assets as a critical audit matter due to the nature and extent of audit effort required to address the matter, which includes a significant involvement of more experienced engagement team members. Subjective auditor judgment was required in determining the nature and extent of audit procedures and the sufficiency of audit evidence obtained to test the digital assets recognized by the Company. The primary procedures we performed to address this critical audit matter included: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custodial agreement to obtain understanding of the Company’s rights and obligations in relation to the digital assets held in custody;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Assessed the custodian’s control regarding the safeguarding and accuracy of the transaction and balance statements of the Company’s digital assets by reviewing the System and Organization Controls (“SOC”) Reports;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and tested management’s rationale and supporting documentation, including reconciling the transaction journals to statements produced by the custodian, confirming the balance in quantity with the custodian, testing nature of transactions;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management’s disclosures of digital assets in the financial statement footnotes.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bookmarkStart w:id="63" w:name="xdx_90F_edei--AuditorName_c20250101__202"/>
      <w:bookmarkEnd w:id="63"/>
      <w:r>
        <w:rPr>
          <w:rFonts w:ascii="Times New Roman;Times;Serif" w:hAnsi="Times New Roman;Times;Serif"/>
          <w:b w:val="false"/>
          <w:i/>
          <w:caps w:val="false"/>
          <w:smallCaps w:val="false"/>
          <w:sz w:val="20"/>
        </w:rPr>
        <w:t>HTL International, LLC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64" w:name="xdx_90A_edei--AuditorLocation_c20250101_"/>
      <w:bookmarkEnd w:id="64"/>
      <w:r>
        <w:rPr>
          <w:rFonts w:ascii="Times New Roman;Times;Serif" w:hAnsi="Times New Roman;Times;Serif"/>
          <w:b w:val="false"/>
          <w:i w:val="false"/>
          <w:caps w:val="false"/>
          <w:smallCaps w:val="false"/>
          <w:sz w:val="20"/>
        </w:rPr>
        <w:t>Houston, Texas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5" w:name="fin_002"/>
      <w:bookmarkEnd w:id="6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of the financial statements for the year ended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AIxCrypto Holdings, Inc. (formerly “Qualigen Therapeutics, Inc.”, the “Company”) as of December 31, 2024, the related consolidated statements of operations and comprehensive loss, changes in stockholders’ equity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bookmarkStart w:id="66" w:name="xdx_906_edei--AuditorName_c20240101__202"/>
      <w:bookmarkEnd w:id="66"/>
      <w:r>
        <w:rPr>
          <w:rFonts w:ascii="Times New Roman;Times;Serif" w:hAnsi="Times New Roman;Times;Serif"/>
          <w:b w:val="false"/>
          <w:i/>
          <w:caps w:val="false"/>
          <w:smallCaps w:val="false"/>
          <w:sz w:val="20"/>
        </w:rPr>
        <w:t>WithumSmith+Brown,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2024 to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 w:name="xdx_907_edei--AuditorLocation_c20240101_"/>
      <w:bookmarkEnd w:id="67"/>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8" w:name="fin_003"/>
      <w:bookmarkEnd w:id="68"/>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 w:name="xdx_301_111_zLCKbfRD7zZg"/>
      <w:bookmarkStart w:id="70" w:name="xdx_301_111_zLCKbfRD7zZg"/>
      <w:bookmarkEnd w:id="70"/>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1" w:name="xdx_49C_20251231_zQpqScleQCka"/>
            <w:bookmarkEnd w:id="71"/>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2" w:name="xdx_496_20241231_zJtMrRiW5426"/>
            <w:bookmarkEnd w:id="72"/>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73" w:name="xdx_400_eus-gaap--AssetsAbstract_iB_z2Sx"/>
            <w:bookmarkEnd w:id="73"/>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 w:name="xdx_40A_eus-gaap--AssetsCurrentAbstract_"/>
            <w:bookmarkEnd w:id="74"/>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 w:name="xdx_408_eus-gaap--CashAndCashEquivalents"/>
            <w:bookmarkEnd w:id="75"/>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19,332,707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1,174,608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 w:name="xdx_404_eus-gaap--CryptoAssetFairValue_i"/>
            <w:bookmarkEnd w:id="76"/>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10,250,497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7" w:name="xdx_40E_eus-gaap--PrepaidExpenseAndOther"/>
            <w:bookmarkEnd w:id="7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1,499,219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8" w:name="xdx_400_eus-gaap--NotesAndLoansReceivabl"/>
            <w:bookmarkEnd w:id="78"/>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notes receivable, net of allowance for credit losses of $</w:t>
            </w:r>
            <w:bookmarkStart w:id="79" w:name="xdx_90C_eus-gaap--AllowanceForNotesAndLo"/>
            <w:bookmarkEnd w:id="79"/>
            <w:r>
              <w:rPr>
                <w:rFonts w:ascii="Times New Roman;Times;Serif" w:hAnsi="Times New Roman;Times;Serif"/>
                <w:b w:val="false"/>
                <w:i w:val="false"/>
                <w:caps w:val="false"/>
                <w:smallCaps w:val="false"/>
                <w:sz w:val="20"/>
              </w:rPr>
              <w:t>4.6 million and $</w:t>
            </w:r>
            <w:bookmarkStart w:id="80" w:name="xdx_90B_eus-gaap--AllowanceForNotesAndLo"/>
            <w:bookmarkEnd w:id="80"/>
            <w:r>
              <w:rPr>
                <w:rFonts w:ascii="Times New Roman;Times;Serif" w:hAnsi="Times New Roman;Times;Serif"/>
                <w:b w:val="false"/>
                <w:i w:val="false"/>
                <w:caps w:val="false"/>
                <w:smallCaps w:val="false"/>
                <w:sz w:val="20"/>
              </w:rPr>
              <w:t>360,000 at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2,010,692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 w:name="xdx_40A_eus-gaap--AssetsCurrent_i02TI_mt"/>
            <w:bookmarkEnd w:id="81"/>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30,954,770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4,684,519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 w:name="xdx_407_eus-gaap--IndefiniteLivedIntangi"/>
            <w:bookmarkEnd w:id="82"/>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3" w:name="xdx_40C_eus-gaap--OtherAssetsNoncurrent_"/>
            <w:bookmarkEnd w:id="83"/>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4" w:name="xdx_40D_eus-gaap--OtherAssetsNoncurrent_"/>
            <w:bookmarkEnd w:id="84"/>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5" w:name="xdx_40A_eus-gaap--OtherAssetsNoncurrent_"/>
            <w:bookmarkEnd w:id="85"/>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6" w:name="xdx_402_eus-gaap--AssetsNoncurrent_i01TI"/>
            <w:bookmarkEnd w:id="86"/>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 w:name="xdx_40C_eus-gaap--Assets_i01TI_mtAzJaf_z"/>
            <w:bookmarkEnd w:id="87"/>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31,279,846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4,686,519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 w:name="xdx_407_eus-gaap--LiabilitiesAndStockhol"/>
            <w:bookmarkEnd w:id="88"/>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9" w:name="xdx_40F_eus-gaap--LiabilitiesCurrentAbst"/>
            <w:bookmarkEnd w:id="89"/>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 w:name="xdx_400_eus-gaap--AccountsPayableCurrent"/>
            <w:bookmarkEnd w:id="90"/>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1,259,944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1,568,065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1" w:name="xdx_40E_eus-gaap--OtherLiabilitiesCurren"/>
            <w:bookmarkEnd w:id="91"/>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1,648,945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 w:name="xdx_402_eus-gaap--AccruedLiabilitiesAndO"/>
            <w:bookmarkEnd w:id="92"/>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3" w:name="xdx_409_ecustom--WarrantLiabilitiesCurre"/>
            <w:bookmarkEnd w:id="93"/>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269,175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4" w:name="xdx_40F_eus-gaap--ConvertibleDebtCurrent"/>
            <w:bookmarkEnd w:id="94"/>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 w:name="xdx_404_eus-gaap--LiabilitiesCurrent_i02"/>
            <w:bookmarkEnd w:id="95"/>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2,007,483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 w:name="xdx_408_eus-gaap--CommitmentsAndContinge"/>
            <w:bookmarkEnd w:id="96"/>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7" w:name="xdx_400_eus-gaap--StockholdersEquityAbst"/>
            <w:bookmarkEnd w:id="9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 w:name="xdx_40A_eus-gaap--PreferredStockValue_i0"/>
            <w:bookmarkEnd w:id="98"/>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Series A-2, $</w:t>
            </w:r>
            <w:bookmarkStart w:id="99" w:name="xdx_903_eus-gaap--PreferredStockParOrSta"/>
            <w:bookmarkStart w:id="100" w:name="xdx_908_eus-gaap--PreferredStockParOrSta"/>
            <w:bookmarkEnd w:id="99"/>
            <w:bookmarkEnd w:id="100"/>
            <w:r>
              <w:rPr>
                <w:rFonts w:ascii="Times New Roman;Times;Serif" w:hAnsi="Times New Roman;Times;Serif"/>
                <w:b w:val="false"/>
                <w:i w:val="false"/>
                <w:caps w:val="false"/>
                <w:smallCaps w:val="false"/>
                <w:sz w:val="20"/>
              </w:rPr>
              <w:t xml:space="preserve">0.001 par value; </w:t>
            </w:r>
            <w:bookmarkStart w:id="101" w:name="xdx_909_eus-gaap--PreferredStockSharesAu"/>
            <w:bookmarkStart w:id="102" w:name="xdx_903_eus-gaap--PreferredStockSharesAu"/>
            <w:bookmarkEnd w:id="101"/>
            <w:bookmarkEnd w:id="102"/>
            <w:r>
              <w:rPr>
                <w:rFonts w:ascii="Times New Roman;Times;Serif" w:hAnsi="Times New Roman;Times;Serif"/>
                <w:b w:val="false"/>
                <w:i w:val="false"/>
                <w:caps w:val="false"/>
                <w:smallCaps w:val="false"/>
                <w:sz w:val="20"/>
              </w:rPr>
              <w:t xml:space="preserve">15,000,000 shares authorized; </w:t>
            </w:r>
            <w:bookmarkStart w:id="103" w:name="xdx_908_eus-gaap--PreferredStockSharesOu"/>
            <w:bookmarkStart w:id="104" w:name="xdx_90E_eus-gaap--PreferredStockSharesIs"/>
            <w:bookmarkEnd w:id="103"/>
            <w:bookmarkEnd w:id="104"/>
            <w:r>
              <w:rPr>
                <w:rFonts w:ascii="Times New Roman;Times;Serif" w:hAnsi="Times New Roman;Times;Serif"/>
                <w:b w:val="false"/>
                <w:i w:val="false"/>
                <w:caps w:val="false"/>
                <w:smallCaps w:val="false"/>
                <w:sz w:val="20"/>
              </w:rPr>
              <w:t xml:space="preserve">601 and </w:t>
            </w:r>
            <w:bookmarkStart w:id="105" w:name="xdx_90A_eus-gaap--PreferredStockSharesOu"/>
            <w:bookmarkStart w:id="106" w:name="xdx_905_eus-gaap--PreferredStockSharesIs"/>
            <w:bookmarkEnd w:id="105"/>
            <w:bookmarkEnd w:id="106"/>
            <w:r>
              <w:rPr>
                <w:rFonts w:ascii="Times New Roman;Times;Serif" w:hAnsi="Times New Roman;Times;Serif"/>
                <w:b w:val="false"/>
                <w:i w:val="false"/>
                <w:caps w:val="false"/>
                <w:smallCaps w:val="false"/>
                <w:sz w:val="20"/>
              </w:rPr>
              <w:t>6,256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659,040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5,716,400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7" w:name="xdx_40B_eus-gaap--PreferredStockValue_i0"/>
            <w:bookmarkEnd w:id="10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Series B, $</w:t>
            </w:r>
            <w:bookmarkStart w:id="108" w:name="xdx_902_eus-gaap--PreferredStockParOrSta"/>
            <w:bookmarkStart w:id="109" w:name="xdx_90A_eus-gaap--PreferredStockParOrSta"/>
            <w:bookmarkEnd w:id="108"/>
            <w:bookmarkEnd w:id="109"/>
            <w:r>
              <w:rPr>
                <w:rFonts w:ascii="Times New Roman;Times;Serif" w:hAnsi="Times New Roman;Times;Serif"/>
                <w:b w:val="false"/>
                <w:i w:val="false"/>
                <w:caps w:val="false"/>
                <w:smallCaps w:val="false"/>
                <w:sz w:val="20"/>
              </w:rPr>
              <w:t xml:space="preserve">0.001 par value; </w:t>
            </w:r>
            <w:bookmarkStart w:id="110" w:name="xdx_90A_eus-gaap--PreferredStockSharesAu"/>
            <w:bookmarkStart w:id="111" w:name="xdx_909_eus-gaap--PreferredStockSharesAu"/>
            <w:bookmarkEnd w:id="110"/>
            <w:bookmarkEnd w:id="111"/>
            <w:r>
              <w:rPr>
                <w:rFonts w:ascii="Times New Roman;Times;Serif" w:hAnsi="Times New Roman;Times;Serif"/>
                <w:b w:val="false"/>
                <w:i w:val="false"/>
                <w:caps w:val="false"/>
                <w:smallCaps w:val="false"/>
                <w:sz w:val="20"/>
              </w:rPr>
              <w:t xml:space="preserve">15,000,000 shares authorized; </w:t>
            </w:r>
            <w:bookmarkStart w:id="112" w:name="xdx_908_eus-gaap--PreferredStockSharesOu"/>
            <w:bookmarkStart w:id="113" w:name="xdx_904_eus-gaap--PreferredStockSharesIs"/>
            <w:bookmarkEnd w:id="112"/>
            <w:bookmarkEnd w:id="113"/>
            <w:r>
              <w:rPr>
                <w:rFonts w:ascii="Times New Roman;Times;Serif" w:hAnsi="Times New Roman;Times;Serif"/>
                <w:b w:val="false"/>
                <w:i w:val="false"/>
                <w:caps w:val="false"/>
                <w:smallCaps w:val="false"/>
                <w:sz w:val="20"/>
              </w:rPr>
              <w:t xml:space="preserve">39,943 and </w:t>
            </w:r>
            <w:bookmarkStart w:id="114" w:name="xdx_90A_eus-gaap--PreferredStockSharesOu"/>
            <w:bookmarkStart w:id="115" w:name="xdx_908_eus-gaap--PreferredStockSharesIs"/>
            <w:bookmarkEnd w:id="114"/>
            <w:bookmarkEnd w:id="115"/>
            <w:r>
              <w:rPr>
                <w:rFonts w:ascii="Times New Roman;Times;Serif" w:hAnsi="Times New Roman;Times;Serif"/>
                <w:b w:val="false"/>
                <w:i w:val="false"/>
                <w:caps w:val="false"/>
                <w:smallCaps w:val="false"/>
                <w:sz w:val="20"/>
              </w:rPr>
              <w:t>zero shares issued and outstanding as of December 31, 2025 and December 31,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31,183,357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6" w:name="xdx_401_eus-gaap--PreferredStockValue_i0"/>
            <w:bookmarkEnd w:id="116"/>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7" w:name="xdx_408_eus-gaap--CommonStockValue_i02I_"/>
            <w:bookmarkEnd w:id="11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t>
            </w:r>
            <w:bookmarkStart w:id="118" w:name="xdx_901_eus-gaap--CommonStockParOrStated"/>
            <w:bookmarkStart w:id="119" w:name="xdx_909_eus-gaap--CommonStockParOrStated"/>
            <w:bookmarkEnd w:id="118"/>
            <w:bookmarkEnd w:id="119"/>
            <w:r>
              <w:rPr>
                <w:rFonts w:ascii="Times New Roman;Times;Serif" w:hAnsi="Times New Roman;Times;Serif"/>
                <w:b w:val="false"/>
                <w:i w:val="false"/>
                <w:caps w:val="false"/>
                <w:smallCaps w:val="false"/>
                <w:sz w:val="20"/>
              </w:rPr>
              <w:t xml:space="preserve">0.001 par value; </w:t>
            </w:r>
            <w:bookmarkStart w:id="120" w:name="xdx_908_eus-gaap--CommonStockSharesAutho"/>
            <w:bookmarkStart w:id="121" w:name="xdx_90B_eus-gaap--CommonStockSharesAutho"/>
            <w:bookmarkEnd w:id="120"/>
            <w:bookmarkEnd w:id="121"/>
            <w:r>
              <w:rPr>
                <w:rFonts w:ascii="Times New Roman;Times;Serif" w:hAnsi="Times New Roman;Times;Serif"/>
                <w:b w:val="false"/>
                <w:i w:val="false"/>
                <w:caps w:val="false"/>
                <w:smallCaps w:val="false"/>
                <w:sz w:val="20"/>
              </w:rPr>
              <w:t xml:space="preserve">225,000,000 shares authorized; </w:t>
            </w:r>
            <w:bookmarkStart w:id="122" w:name="xdx_90B_eus-gaap--CommonStockSharesOutst"/>
            <w:bookmarkStart w:id="123" w:name="xdx_901_eus-gaap--CommonStockSharesIssue"/>
            <w:bookmarkEnd w:id="122"/>
            <w:bookmarkEnd w:id="123"/>
            <w:r>
              <w:rPr>
                <w:rFonts w:ascii="Times New Roman;Times;Serif" w:hAnsi="Times New Roman;Times;Serif"/>
                <w:b w:val="false"/>
                <w:i w:val="false"/>
                <w:caps w:val="false"/>
                <w:smallCaps w:val="false"/>
                <w:sz w:val="20"/>
              </w:rPr>
              <w:t xml:space="preserve">5,160,383 and </w:t>
            </w:r>
            <w:bookmarkStart w:id="124" w:name="xdx_901_eus-gaap--CommonStockSharesOutst"/>
            <w:bookmarkStart w:id="125" w:name="xdx_90B_eus-gaap--CommonStockSharesIssue"/>
            <w:bookmarkEnd w:id="124"/>
            <w:bookmarkEnd w:id="125"/>
            <w:r>
              <w:rPr>
                <w:rFonts w:ascii="Times New Roman;Times;Serif" w:hAnsi="Times New Roman;Times;Serif"/>
                <w:b w:val="false"/>
                <w:i w:val="false"/>
                <w:caps w:val="false"/>
                <w:smallCaps w:val="false"/>
                <w:sz w:val="20"/>
              </w:rPr>
              <w:t>736,431 shares issued and outstanding as of December 31, 2025 and December 31,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6" w:name="xdx_409_eus-gaap--AdditionalPaidInCapita"/>
            <w:bookmarkEnd w:id="126"/>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136,065,924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119,958,897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7" w:name="xdx_408_eus-gaap--RetainedEarningsAccumu"/>
            <w:bookmarkEnd w:id="12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(140,027,450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(123,061,575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8" w:name="xdx_409_eus-gaap--StockholdersEquity_i02"/>
            <w:bookmarkEnd w:id="128"/>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27,950,609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2,679,036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 w:name="xdx_403_eus-gaap--LiabilitiesAndStockhol"/>
            <w:bookmarkEnd w:id="129"/>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&amp;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31,279,846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4,686,519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0" w:name="fin_004"/>
      <w:bookmarkEnd w:id="130"/>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1" w:name="xdx_30D_113_zbOte6X4JYac"/>
      <w:bookmarkStart w:id="132" w:name="xdx_30D_113_zbOte6X4JYac"/>
      <w:bookmarkEnd w:id="132"/>
    </w:p>
    <w:tbl>
      <w:tblPr>
        <w:tblW w:w="10137" w:type="dxa"/>
        <w:jc w:val="left"/>
        <w:tblInd w:w="0" w:type="dxa"/>
        <w:tblLayout w:type="fixed"/>
        <w:tblCellMar>
          <w:top w:w="0" w:type="dxa"/>
          <w:left w:w="0" w:type="dxa"/>
          <w:bottom w:w="0" w:type="dxa"/>
          <w:right w:w="0" w:type="dxa"/>
        </w:tblCellMar>
      </w:tblPr>
      <w:tblGrid>
        <w:gridCol w:w="6950"/>
        <w:gridCol w:w="60"/>
        <w:gridCol w:w="164"/>
        <w:gridCol w:w="1329"/>
        <w:gridCol w:w="105"/>
        <w:gridCol w:w="79"/>
        <w:gridCol w:w="164"/>
        <w:gridCol w:w="1191"/>
        <w:gridCol w:w="95"/>
      </w:tblGrid>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33" w:name="xdx_492_20250101__20251231_zb9ISOl0jXEa"/>
            <w:bookmarkEnd w:id="133"/>
          </w:p>
        </w:tc>
        <w:tc>
          <w:tcPr>
            <w:tcW w:w="14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bookmarkStart w:id="134" w:name="xdx_49D_20240101__20241231_zmcUA2LC0ED8"/>
            <w:bookmarkEnd w:id="134"/>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35" w:name="xdx_400_eus-gaap--OperatingCostsAndExpen"/>
            <w:bookmarkEnd w:id="135"/>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6" w:name="xdx_40B_eus-gaap--GeneralAndAdministrati"/>
            <w:bookmarkEnd w:id="13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8,822,300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7" w:name="xdx_409_eus-gaap--ResearchAndDevelopment"/>
            <w:bookmarkEnd w:id="137"/>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184,796</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1,197,162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8" w:name="xdx_402_ecustom--CreditLossExpenseShortt"/>
            <w:bookmarkEnd w:id="138"/>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4,195,000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9" w:name="xdx_402_eus-gaap--OperatingExpenses_i01T"/>
            <w:bookmarkEnd w:id="139"/>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13,202,096</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5,761,720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0" w:name="xdx_404_eus-gaap--OperatingIncomeLoss_iT"/>
            <w:bookmarkEnd w:id="140"/>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(13,202,096</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(5,761,720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1" w:name="xdx_403_eus-gaap--NonoperatingIncomeExpe"/>
            <w:bookmarkEnd w:id="141"/>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2" w:name="xdx_405_ecustom--LossGainOnChangeInFairV"/>
            <w:bookmarkEnd w:id="142"/>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(127,297</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(415,810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3" w:name="xdx_40D_eus-gaap--DerivativeGainLossOnDe"/>
            <w:bookmarkEnd w:id="143"/>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(191,068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4" w:name="xdx_406_ecustom--GainOnChangeInFairValue"/>
            <w:bookmarkEnd w:id="144"/>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(37,707</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5" w:name="xdx_402_eus-gaap--InterestExpenseNonoper"/>
            <w:bookmarkEnd w:id="145"/>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988,500</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908,943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6" w:name="xdx_407_eus-gaap--InvestmentIncomeIntere"/>
            <w:bookmarkEnd w:id="14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(742,018</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7" w:name="xdx_402_ecustom--LossOnIssuanceOfConvert"/>
            <w:bookmarkEnd w:id="147"/>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convertible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91,943</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358,279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8" w:name="xdx_407_eus-gaap--CryptoAssetRealizedGai"/>
            <w:bookmarkEnd w:id="148"/>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3,588,106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9" w:name="xdx_400_ecustom--GainLossOnVoluntaryConv"/>
            <w:bookmarkEnd w:id="149"/>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voluntary conversion of convertible debt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0" w:name="xdx_40F_eus-gaap--GainsLossesOnExtinguis"/>
            <w:bookmarkEnd w:id="150"/>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1" w:name="xdx_40E_ecustom--LossOnMonthlyRedemption"/>
            <w:bookmarkEnd w:id="151"/>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monthly redemptions of convertible debt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2" w:name="xdx_40C_ecustom--GainOnSettlementsOfAcco"/>
            <w:bookmarkEnd w:id="152"/>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settlements of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3" w:name="xdx_40A_eus-gaap--OtherNonoperatingIncom"/>
            <w:bookmarkEnd w:id="153"/>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4" w:name="xdx_400_eus-gaap--NonoperatingIncomeExpe"/>
            <w:bookmarkEnd w:id="154"/>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3,763,779</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391,137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5" w:name="xdx_40E_eus-gaap--IncomeLossFromContinui"/>
            <w:bookmarkEnd w:id="155"/>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(6,152,857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6" w:name="xdx_40E_eus-gaap--IncomeTaxExpenseBenefi"/>
            <w:bookmarkEnd w:id="15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7" w:name="xdx_402_eus-gaap--IncomeLossFromContinui"/>
            <w:bookmarkEnd w:id="157"/>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(6,159,191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 w:name="xdx_403_eus-gaap--IncomeLossFromDisconti"/>
            <w:bookmarkEnd w:id="158"/>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9" w:name="xdx_406_eus-gaap--DiscontinuedOperationP"/>
            <w:bookmarkEnd w:id="159"/>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discontinued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60" w:name="xdx_403_eus-gaap--IncomeLossFromDisconti"/>
            <w:bookmarkEnd w:id="160"/>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1" w:name="xdx_40C_eus-gaap--NetIncomeLoss_iT_mtPLz"/>
            <w:bookmarkEnd w:id="161"/>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(6,259,191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2" w:name="xdx_401_eus-gaap--WarrantDownRoundFeatur"/>
            <w:bookmarkEnd w:id="162"/>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dividend arising from preferred stock and warrant down-round provision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(2,562,867</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3" w:name="xdx_402_eus-gaap--NetIncomeLossAvailable"/>
            <w:bookmarkEnd w:id="163"/>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(19,528,742</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(6,346,795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64" w:name="xdx_900_eus-gaap--IncomeLossFromContinui"/>
            <w:bookmarkStart w:id="165" w:name="xdx_903_eus-gaap--IncomeLossFromContinui"/>
            <w:bookmarkEnd w:id="164"/>
            <w:bookmarkEnd w:id="165"/>
            <w:r>
              <w:rPr>
                <w:rFonts w:ascii="Times New Roman;Times;Serif" w:hAnsi="Times New Roman;Times;Serif"/>
                <w:b w:val="false"/>
                <w:i w:val="false"/>
                <w:caps w:val="false"/>
                <w:smallCaps w:val="false"/>
                <w:sz w:val="20"/>
              </w:rPr>
              <w:t>(8.11</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66" w:name="xdx_90D_eus-gaap--IncomeLossFromContinui"/>
            <w:bookmarkStart w:id="167" w:name="xdx_90E_eus-gaap--IncomeLossFromContinui"/>
            <w:bookmarkEnd w:id="166"/>
            <w:bookmarkEnd w:id="167"/>
            <w:r>
              <w:rPr>
                <w:rFonts w:ascii="Times New Roman;Times;Serif" w:hAnsi="Times New Roman;Times;Serif"/>
                <w:b w:val="false"/>
                <w:i w:val="false"/>
                <w:caps w:val="false"/>
                <w:smallCaps w:val="false"/>
                <w:sz w:val="20"/>
              </w:rPr>
              <w:t>(17.27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common share, basic and diluted -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bookmarkStart w:id="168" w:name="xdx_902_eus-gaap--DiscontinuedOperationI"/>
            <w:bookmarkStart w:id="169" w:name="xdx_904_eus-gaap--DiscontinuedOperationI"/>
            <w:bookmarkEnd w:id="168"/>
            <w:bookmarkEnd w:id="169"/>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70" w:name="xdx_90E_eus-gaap--DiscontinuedOperationI"/>
            <w:bookmarkStart w:id="171" w:name="xdx_902_eus-gaap--DiscontinuedOperationI"/>
            <w:bookmarkEnd w:id="170"/>
            <w:bookmarkEnd w:id="171"/>
            <w:r>
              <w:rPr>
                <w:rFonts w:ascii="Times New Roman;Times;Serif" w:hAnsi="Times New Roman;Times;Serif"/>
                <w:b w:val="false"/>
                <w:i w:val="false"/>
                <w:caps w:val="false"/>
                <w:smallCaps w:val="false"/>
                <w:sz w:val="20"/>
              </w:rPr>
              <w:t>(0.28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72" w:name="xdx_904_eus-gaap--EarningsPerShareDilute"/>
            <w:bookmarkStart w:id="173" w:name="xdx_909_eus-gaap--EarningsPerShareBasic_"/>
            <w:bookmarkEnd w:id="172"/>
            <w:bookmarkEnd w:id="173"/>
            <w:r>
              <w:rPr>
                <w:rFonts w:ascii="Times New Roman;Times;Serif" w:hAnsi="Times New Roman;Times;Serif"/>
                <w:b w:val="false"/>
                <w:i w:val="false"/>
                <w:caps w:val="false"/>
                <w:smallCaps w:val="false"/>
                <w:sz w:val="20"/>
              </w:rPr>
              <w:t>(8.11</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74" w:name="xdx_901_eus-gaap--EarningsPerShareDilute"/>
            <w:bookmarkStart w:id="175" w:name="xdx_902_eus-gaap--EarningsPerShareBasic_"/>
            <w:bookmarkEnd w:id="174"/>
            <w:bookmarkEnd w:id="175"/>
            <w:r>
              <w:rPr>
                <w:rFonts w:ascii="Times New Roman;Times;Serif" w:hAnsi="Times New Roman;Times;Serif"/>
                <w:b w:val="false"/>
                <w:i w:val="false"/>
                <w:caps w:val="false"/>
                <w:smallCaps w:val="false"/>
                <w:sz w:val="20"/>
              </w:rPr>
              <w:t>(17.55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outstanding, basic and diluted (after stock split)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76" w:name="xdx_903_eus-gaap--WeightedAverageNumberO"/>
            <w:bookmarkStart w:id="177" w:name="xdx_909_eus-gaap--WeightedAverageNumberO"/>
            <w:bookmarkEnd w:id="176"/>
            <w:bookmarkEnd w:id="177"/>
            <w:r>
              <w:rPr>
                <w:rFonts w:ascii="Times New Roman;Times;Serif" w:hAnsi="Times New Roman;Times;Serif"/>
                <w:b w:val="false"/>
                <w:i w:val="false"/>
                <w:caps w:val="false"/>
                <w:smallCaps w:val="false"/>
                <w:sz w:val="20"/>
              </w:rPr>
              <w:t>2,407,817</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78" w:name="xdx_90E_eus-gaap--WeightedAverageNumberO"/>
            <w:bookmarkStart w:id="179" w:name="xdx_901_eus-gaap--WeightedAverageNumberO"/>
            <w:bookmarkEnd w:id="178"/>
            <w:bookmarkEnd w:id="179"/>
            <w:r>
              <w:rPr>
                <w:rFonts w:ascii="Times New Roman;Times;Serif" w:hAnsi="Times New Roman;Times;Serif"/>
                <w:b w:val="false"/>
                <w:i w:val="false"/>
                <w:caps w:val="false"/>
                <w:smallCaps w:val="false"/>
                <w:sz w:val="20"/>
              </w:rPr>
              <w:t>361,587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0" w:name="fin_005"/>
      <w:bookmarkEnd w:id="180"/>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1" w:name="xdx_30C_114_zT2VYbgjBiug"/>
      <w:bookmarkStart w:id="182" w:name="xdx_30C_114_zT2VYbgjBiug"/>
      <w:bookmarkEnd w:id="182"/>
    </w:p>
    <w:tbl>
      <w:tblPr>
        <w:tblW w:w="13005" w:type="dxa"/>
        <w:jc w:val="left"/>
        <w:tblInd w:w="0" w:type="dxa"/>
        <w:tblLayout w:type="fixed"/>
        <w:tblCellMar>
          <w:top w:w="0" w:type="dxa"/>
          <w:left w:w="0" w:type="dxa"/>
          <w:bottom w:w="0" w:type="dxa"/>
          <w:right w:w="0" w:type="dxa"/>
        </w:tblCellMar>
      </w:tblPr>
      <w:tblGrid>
        <w:gridCol w:w="1175"/>
        <w:gridCol w:w="60"/>
        <w:gridCol w:w="60"/>
        <w:gridCol w:w="545"/>
        <w:gridCol w:w="80"/>
        <w:gridCol w:w="60"/>
        <w:gridCol w:w="125"/>
        <w:gridCol w:w="905"/>
        <w:gridCol w:w="80"/>
        <w:gridCol w:w="60"/>
        <w:gridCol w:w="125"/>
        <w:gridCol w:w="545"/>
        <w:gridCol w:w="80"/>
        <w:gridCol w:w="60"/>
        <w:gridCol w:w="125"/>
        <w:gridCol w:w="905"/>
        <w:gridCol w:w="80"/>
        <w:gridCol w:w="60"/>
        <w:gridCol w:w="125"/>
        <w:gridCol w:w="590"/>
        <w:gridCol w:w="60"/>
        <w:gridCol w:w="60"/>
        <w:gridCol w:w="125"/>
        <w:gridCol w:w="950"/>
        <w:gridCol w:w="60"/>
        <w:gridCol w:w="60"/>
        <w:gridCol w:w="60"/>
        <w:gridCol w:w="845"/>
        <w:gridCol w:w="60"/>
        <w:gridCol w:w="60"/>
        <w:gridCol w:w="125"/>
        <w:gridCol w:w="590"/>
        <w:gridCol w:w="60"/>
        <w:gridCol w:w="60"/>
        <w:gridCol w:w="125"/>
        <w:gridCol w:w="1055"/>
        <w:gridCol w:w="60"/>
        <w:gridCol w:w="60"/>
        <w:gridCol w:w="125"/>
        <w:gridCol w:w="1115"/>
        <w:gridCol w:w="80"/>
        <w:gridCol w:w="60"/>
        <w:gridCol w:w="125"/>
        <w:gridCol w:w="1085"/>
        <w:gridCol w:w="95"/>
      </w:tblGrid>
      <w:tr>
        <w:trPr/>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83" w:name="xdx_4B5_us-gaap--StatementEquityComponen"/>
            <w:bookmarkEnd w:id="183"/>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84" w:name="xdx_4B3_us-gaap--StatementEquityComponen"/>
            <w:bookmarkEnd w:id="184"/>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85" w:name="xdx_4B1_us-gaap--StatementEquityComponen"/>
            <w:bookmarkEnd w:id="185"/>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86" w:name="xdx_4BE_us-gaap--StatementEquityComponen"/>
            <w:bookmarkEnd w:id="186"/>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87" w:name="xdx_4BD_us-gaap--StatementEquityComponen"/>
            <w:bookmarkEnd w:id="187"/>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88" w:name="xdx_4B9_us-gaap--StatementEquityComponen"/>
            <w:bookmarkEnd w:id="18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89" w:name="xdx_4BB_zHNoFWQrSu45"/>
            <w:bookmarkEnd w:id="189"/>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90" w:name="xdx_43E_c20250101__20251231_eus-gaap--St"/>
            <w:bookmarkEnd w:id="190"/>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1" w:name="xdx_98C_eus-gaap--SharesOutstanding_iS_p"/>
            <w:bookmarkEnd w:id="191"/>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5,716,400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2" w:name="xdx_980_eus-gaap--SharesOutstanding_iS_p"/>
            <w:bookmarkEnd w:id="192"/>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3" w:name="xdx_985_eus-gaap--SharesOutstanding_iS_p"/>
            <w:bookmarkEnd w:id="193"/>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4" w:name="xdx_98A_eus-gaap--SharesOutstanding_iS_p"/>
            <w:bookmarkEnd w:id="194"/>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119,958,897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(123,061,575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2,679,036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5" w:name="xdx_405_ecustom--StockIssuedDuringPeriod"/>
            <w:bookmarkEnd w:id="195"/>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for the conversion of Series A-2 preferred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6" w:name="xdx_981_ecustom--StockIssuedDuringPeriod"/>
            <w:bookmarkEnd w:id="196"/>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(5,057,360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7" w:name="xdx_98B_ecustom--StockIssuedDuringPeriod"/>
            <w:bookmarkEnd w:id="197"/>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1,922,702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5,055,437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8" w:name="xdx_407_eus-gaap--AdjustmentsToAdditiona"/>
            <w:bookmarkEnd w:id="198"/>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9" w:name="xdx_404_ecustom--StockIssuedDuringPeriod"/>
            <w:bookmarkEnd w:id="199"/>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A-3 preferred shares upon closing of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0" w:name="xdx_98E_ecustom--StockIssuedDuringPeriod"/>
            <w:bookmarkEnd w:id="200"/>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4,257,937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4,257,937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1" w:name="xdx_40E_ecustom--StockIssuedDuringPeriod"/>
            <w:bookmarkEnd w:id="201"/>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B preferred shares upon closing of private placement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2" w:name="xdx_98F_ecustom--StockIssuedDuringPeriod"/>
            <w:bookmarkEnd w:id="202"/>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31,183,357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31,183,357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3" w:name="xdx_40C_ecustom--StockIssuedDuringPeriod"/>
            <w:bookmarkEnd w:id="203"/>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and warrants upon closing of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4" w:name="xdx_98E_ecustom--StockIssuedDuringPeriod"/>
            <w:bookmarkEnd w:id="204"/>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6,795,388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6,795,885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5" w:name="xdx_400_ecustom--StockIssuedDuringPeriod"/>
            <w:bookmarkEnd w:id="205"/>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for the conversion of Series A-3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6" w:name="xdx_98F_ecustom--StockIssuedDuringPeriod"/>
            <w:bookmarkEnd w:id="206"/>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(4,257,937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7" w:name="xdx_985_ecustom--StockIssuedDuringPeriod"/>
            <w:bookmarkEnd w:id="207"/>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2,003,561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4,255,933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8" w:name="xdx_403_eus-gaap--NetIncomeLoss_z9gi7EuA"/>
            <w:bookmarkEnd w:id="208"/>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9" w:name="xdx_437_c20250101__20251231_eus-gaap--St"/>
            <w:bookmarkEnd w:id="209"/>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0" w:name="xdx_985_eus-gaap--SharesOutstanding_iE_p"/>
            <w:bookmarkEnd w:id="210"/>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1" w:name="xdx_98C_eus-gaap--SharesOutstanding_iE_p"/>
            <w:bookmarkEnd w:id="211"/>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2" w:name="xdx_98E_eus-gaap--SharesOutstanding_iE_p"/>
            <w:bookmarkEnd w:id="212"/>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31,183,357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3" w:name="xdx_98C_eus-gaap--SharesOutstanding_iE_p"/>
            <w:bookmarkEnd w:id="213"/>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136,065,924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(140,027,450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27,950,609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0"/>
        <w:gridCol w:w="60"/>
        <w:gridCol w:w="64"/>
        <w:gridCol w:w="526"/>
        <w:gridCol w:w="60"/>
        <w:gridCol w:w="60"/>
        <w:gridCol w:w="125"/>
        <w:gridCol w:w="845"/>
        <w:gridCol w:w="60"/>
        <w:gridCol w:w="60"/>
        <w:gridCol w:w="60"/>
        <w:gridCol w:w="695"/>
        <w:gridCol w:w="80"/>
        <w:gridCol w:w="60"/>
        <w:gridCol w:w="125"/>
        <w:gridCol w:w="590"/>
        <w:gridCol w:w="60"/>
        <w:gridCol w:w="60"/>
        <w:gridCol w:w="125"/>
        <w:gridCol w:w="1055"/>
        <w:gridCol w:w="80"/>
        <w:gridCol w:w="60"/>
        <w:gridCol w:w="125"/>
        <w:gridCol w:w="1115"/>
        <w:gridCol w:w="80"/>
        <w:gridCol w:w="60"/>
        <w:gridCol w:w="125"/>
        <w:gridCol w:w="1145"/>
        <w:gridCol w:w="95"/>
      </w:tblGrid>
      <w:tr>
        <w:trPr/>
        <w:tc>
          <w:tcPr>
            <w:tcW w:w="25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4" w:name="xdx_4B1_us-gaap--StatementEquityComponen"/>
            <w:bookmarkEnd w:id="214"/>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5" w:name="xdx_4B2_us-gaap--StatementEquityComponen"/>
            <w:bookmarkEnd w:id="215"/>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6" w:name="xdx_4B6_us-gaap--StatementEquityComponen"/>
            <w:bookmarkEnd w:id="216"/>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7" w:name="xdx_4B0_us-gaap--StatementEquityComponen"/>
            <w:bookmarkEnd w:id="217"/>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8" w:name="xdx_4BB_z6RdcLcx4Vt6"/>
            <w:bookmarkEnd w:id="218"/>
          </w:p>
        </w:tc>
        <w:tc>
          <w:tcPr>
            <w:tcW w:w="12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0" w:type="dxa"/>
            <w:gridSpan w:val="6"/>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219" w:name="xdx_43E_c20240101__20241231_eus-gaap--St"/>
            <w:bookmarkEnd w:id="219"/>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 w:name="xdx_989_eus-gaap--SharesOutstanding_iS_p"/>
            <w:bookmarkEnd w:id="220"/>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 w:name="xdx_987_eus-gaap--SharesOutstanding_iS_p"/>
            <w:bookmarkEnd w:id="221"/>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114,655,565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(116,802,384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(2,103,557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2" w:name="xdx_400_eus-gaap--StockIssuedDuringPerio"/>
            <w:bookmarkEnd w:id="222"/>
          </w:p>
        </w:tc>
      </w:tr>
      <w:tr>
        <w:trPr/>
        <w:tc>
          <w:tcPr>
            <w:tcW w:w="2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and prefunded warrants in public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3" w:name="xdx_98B_eus-gaap--StockIssuedDuringPerio"/>
            <w:bookmarkEnd w:id="223"/>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482,737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3,038,625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3,053,349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 w:name="xdx_40F_ecustom--StockIssuedDuringPeriod"/>
            <w:bookmarkEnd w:id="224"/>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A-2 preferred shares upon closing of private placement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 w:name="xdx_986_ecustom--StockIssuedDuringPeriod"/>
            <w:bookmarkEnd w:id="225"/>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4,562,400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 w:name="xdx_40E_ecustom--StockIssuedDuringPeriod"/>
            <w:bookmarkEnd w:id="226"/>
          </w:p>
        </w:tc>
      </w:tr>
      <w:tr>
        <w:trPr/>
        <w:tc>
          <w:tcPr>
            <w:tcW w:w="2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conversion of convertible debt into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7" w:name="xdx_981_ecustom--StockIssuedDuringPeriod"/>
            <w:bookmarkEnd w:id="227"/>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 w:name="xdx_406_eus-gaap--StockIssuedDuringPerio"/>
            <w:bookmarkEnd w:id="228"/>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conversion of convertible debt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9" w:name="xdx_98E_eus-gaap--StockIssuedDuringPerio"/>
            <w:bookmarkEnd w:id="229"/>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735,083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0" w:name="xdx_40B_ecustom--StockIssuedDuringPeriod"/>
            <w:bookmarkEnd w:id="230"/>
          </w:p>
        </w:tc>
      </w:tr>
      <w:tr>
        <w:trPr/>
        <w:tc>
          <w:tcPr>
            <w:tcW w:w="2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Redemptions of convertible debt into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1" w:name="xdx_982_ecustom--StockIssuedDuringPeriod"/>
            <w:bookmarkEnd w:id="231"/>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903,329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2" w:name="xdx_40D_eus-gaap--AdjustmentsToAdditiona"/>
            <w:bookmarkEnd w:id="232"/>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warrant modification for professional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4_ecustom--AdjustmentsToAdditional"/>
            <w:bookmarkEnd w:id="233"/>
          </w:p>
        </w:tc>
      </w:tr>
      <w:tr>
        <w:trPr/>
        <w:tc>
          <w:tcPr>
            <w:tcW w:w="2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warrants reclassified to liabilities from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4" w:name="xdx_40B_ecustom--AdjustmentsToAdditional"/>
            <w:bookmarkEnd w:id="234"/>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warrants reclassified to equity from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 w:name="xdx_405_eus-gaap--StockIssuedDuringPerio"/>
            <w:bookmarkEnd w:id="235"/>
          </w:p>
        </w:tc>
      </w:tr>
      <w:tr>
        <w:trPr/>
        <w:tc>
          <w:tcPr>
            <w:tcW w:w="2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upon partial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6" w:name="xdx_989_eus-gaap--StockIssuedDuringPerio"/>
            <w:bookmarkEnd w:id="236"/>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415,980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7" w:name="xdx_400_eus-gaap--StockIssuedDuringPerio"/>
            <w:bookmarkEnd w:id="237"/>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settlements issued to former Board members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8" w:name="xdx_988_eus-gaap--StockIssuedDuringPerio"/>
            <w:bookmarkEnd w:id="238"/>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9" w:name="xdx_401_ecustom--StockIssuedDuringPeriod"/>
            <w:bookmarkEnd w:id="239"/>
          </w:p>
        </w:tc>
      </w:tr>
      <w:tr>
        <w:trPr/>
        <w:tc>
          <w:tcPr>
            <w:tcW w:w="2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rounded shares as a result of the reverse stock split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0" w:name="xdx_981_eus-gaap--StockIssuedDuringPerio"/>
            <w:bookmarkEnd w:id="240"/>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1" w:name="xdx_407_eus-gaap--AdjustmentsToAdditiona"/>
            <w:bookmarkEnd w:id="241"/>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2" w:name="xdx_402_eus-gaap--NetIncomeLoss_zSSeYOTU"/>
            <w:bookmarkEnd w:id="242"/>
          </w:p>
        </w:tc>
      </w:tr>
      <w:tr>
        <w:trPr/>
        <w:tc>
          <w:tcPr>
            <w:tcW w:w="2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(6,259,191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(6,259,191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3" w:name="xdx_436_c20240101__20241231_eus-gaap--St"/>
            <w:bookmarkEnd w:id="243"/>
          </w:p>
        </w:tc>
      </w:tr>
      <w:tr>
        <w:trPr/>
        <w:tc>
          <w:tcPr>
            <w:tcW w:w="2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4" w:name="xdx_98F_eus-gaap--SharesOutstanding_iE_p"/>
            <w:bookmarkEnd w:id="244"/>
          </w:p>
        </w:tc>
        <w:tc>
          <w:tcPr>
            <w:tcW w:w="5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5,716,400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5" w:name="xdx_981_eus-gaap--SharesOutstanding_iE_p"/>
            <w:bookmarkEnd w:id="245"/>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736,431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119,958,897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(123,061,575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80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6" w:name="fin_006"/>
      <w:bookmarkEnd w:id="246"/>
      <w:r>
        <w:rPr>
          <w:rFonts w:ascii="Times New Roman;Times;Serif" w:hAnsi="Times New Roman;Times;Serif"/>
          <w:b/>
          <w:i w:val="false"/>
          <w:caps w:val="false"/>
          <w:smallCaps w:val="false"/>
          <w:sz w:val="20"/>
        </w:rPr>
        <w:t>AIXCRYPTO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7" w:name="xdx_30E_112_zGH2aoSrsJBb"/>
      <w:bookmarkStart w:id="248" w:name="xdx_30E_112_zGH2aoSrsJBb"/>
      <w:bookmarkEnd w:id="248"/>
    </w:p>
    <w:tbl>
      <w:tblPr>
        <w:tblW w:w="10205" w:type="dxa"/>
        <w:jc w:val="left"/>
        <w:tblInd w:w="0" w:type="dxa"/>
        <w:tblLayout w:type="fixed"/>
        <w:tblCellMar>
          <w:top w:w="0" w:type="dxa"/>
          <w:left w:w="0" w:type="dxa"/>
          <w:bottom w:w="0" w:type="dxa"/>
          <w:right w:w="0" w:type="dxa"/>
        </w:tblCellMar>
      </w:tblPr>
      <w:tblGrid>
        <w:gridCol w:w="7197"/>
        <w:gridCol w:w="60"/>
        <w:gridCol w:w="154"/>
        <w:gridCol w:w="1250"/>
        <w:gridCol w:w="98"/>
        <w:gridCol w:w="74"/>
        <w:gridCol w:w="154"/>
        <w:gridCol w:w="1120"/>
        <w:gridCol w:w="98"/>
      </w:tblGrid>
      <w:tr>
        <w:trPr/>
        <w:tc>
          <w:tcPr>
            <w:tcW w:w="71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9" w:name="xdx_497_20250101__20251231_zOUqahf4oyIh"/>
            <w:bookmarkEnd w:id="249"/>
          </w:p>
        </w:tc>
        <w:tc>
          <w:tcPr>
            <w:tcW w:w="14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bookmarkStart w:id="250" w:name="xdx_492_20240101__20241231_zy8mhPqfmU32"/>
            <w:bookmarkEnd w:id="250"/>
          </w:p>
        </w:tc>
        <w:tc>
          <w:tcPr>
            <w:tcW w:w="12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12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bookmarkStart w:id="251" w:name="xdx_403_eus-gaap--NetCashProvidedByUsedI"/>
            <w:bookmarkEnd w:id="251"/>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2" w:name="xdx_404_eus-gaap--NetIncomeLoss_i01_mtCz"/>
            <w:bookmarkEnd w:id="252"/>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(6,259,191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3" w:name="xdx_401_eus-gaap--DiscontinuedOperationI"/>
            <w:bookmarkEnd w:id="253"/>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discontinued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4" w:name="xdx_401_eus-gaap--IncomeLossFromContinui"/>
            <w:bookmarkEnd w:id="254"/>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(16,965,875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(6,159,191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5" w:name="xdx_40E_eus-gaap--AdjustmentsToReconcile"/>
            <w:bookmarkEnd w:id="255"/>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loss from continuing operations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6" w:name="xdx_404_eus-gaap--ShareBasedCompensation"/>
            <w:bookmarkEnd w:id="256"/>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128,059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7" w:name="xdx_40B_eus-gaap--FairValueAdjustmentOfW"/>
            <w:bookmarkEnd w:id="257"/>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(127,297</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(415,810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8" w:name="xdx_408_eus-gaap--DerivativeGainLossOnDe"/>
            <w:bookmarkEnd w:id="258"/>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(191,068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9" w:name="xdx_408_ecustom--GainOnVoluntaryConversi"/>
            <w:bookmarkEnd w:id="259"/>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voluntary conversion of convertible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(56,010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0" w:name="xdx_404_ecustom--LegalExpensesDeductedFr"/>
            <w:bookmarkEnd w:id="260"/>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expenses deducted from issuance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1" w:name="xdx_40C_ecustom--IssuanceOfCommonStockTo"/>
            <w:bookmarkEnd w:id="261"/>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to consultant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325,635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2" w:name="xdx_407_eus-gaap--ProvisionForOtherCredi"/>
            <w:bookmarkEnd w:id="262"/>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 of short-term note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4,195,000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3" w:name="xdx_40C_ecustom--AccruedInterestOnShortt"/>
            <w:bookmarkEnd w:id="263"/>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short-term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(617,868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(113,292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4" w:name="xdx_401_eus-gaap--InterestExpense_i02_ma"/>
            <w:bookmarkEnd w:id="264"/>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988,500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5" w:name="xdx_408_eus-gaap--CryptoAssetRealizedGai"/>
            <w:bookmarkEnd w:id="265"/>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3,588,106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6" w:name="xdx_404_ecustom--PaymentsMadeWithDigital"/>
            <w:bookmarkEnd w:id="266"/>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with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 w:name="xdx_402_ecustom--LossOnMonthlyRedemption"/>
            <w:bookmarkEnd w:id="267"/>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monthly redemptions of convertible debt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8" w:name="xdx_407_ecustom--AccretionOfDiscountOnCo"/>
            <w:bookmarkEnd w:id="268"/>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discount on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615,534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9" w:name="xdx_409_eus-gaap--GainsLossesOnExtinguis"/>
            <w:bookmarkEnd w:id="269"/>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56,997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0" w:name="xdx_404_ecustom--GainLossOnIssuanceOfCon"/>
            <w:bookmarkEnd w:id="270"/>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358,279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1" w:name="xdx_409_ecustom--GainOnSettlementsOfAcco"/>
            <w:bookmarkEnd w:id="271"/>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settlement of 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(348,305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2" w:name="xdx_404_ecustom--LossOnChangeInFairValue"/>
            <w:bookmarkEnd w:id="272"/>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(37,707</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3" w:name="xdx_408_ecustom--FairValueOfWarrantModif"/>
            <w:bookmarkEnd w:id="273"/>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warrant modification for professional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4" w:name="xdx_40F_eus-gaap--IncreaseDecreaseInOper"/>
            <w:bookmarkEnd w:id="274"/>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5" w:name="xdx_402_eus-gaap--IncreaseDecreaseInPrep"/>
            <w:bookmarkEnd w:id="275"/>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462,364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(219,774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6" w:name="xdx_404_eus-gaap--IncreaseDecreaseInAcco"/>
            <w:bookmarkEnd w:id="276"/>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(350,246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(445,141</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7" w:name="xdx_407_eus-gaap--IncreaseDecreaseInOthe"/>
            <w:bookmarkEnd w:id="277"/>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1,435,751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(118,669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8" w:name="xdx_408_eus-gaap--NetCashProvidedByUsedI"/>
            <w:bookmarkEnd w:id="278"/>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(6,951,458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(6,327,503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9" w:name="xdx_400_eus-gaap--NetCashProvidedByUsedI"/>
            <w:bookmarkEnd w:id="279"/>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0" w:name="xdx_402_eus-gaap--PaymentsForProceedsFro"/>
            <w:bookmarkEnd w:id="280"/>
          </w:p>
        </w:tc>
      </w:tr>
      <w:tr>
        <w:trPr/>
        <w:tc>
          <w:tcPr>
            <w:tcW w:w="719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short-term note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(1,909,500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(2,257,400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81" w:name="xdx_405_eus-gaap--PaymentForAcquisitionC"/>
            <w:bookmarkEnd w:id="281"/>
          </w:p>
        </w:tc>
      </w:tr>
      <w:tr>
        <w:trPr/>
        <w:tc>
          <w:tcPr>
            <w:tcW w:w="719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Purchase of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(16,500,000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2" w:name="xdx_405_eus-gaap--ProceedsFromDisposalCr"/>
            <w:bookmarkEnd w:id="282"/>
          </w:p>
        </w:tc>
      </w:tr>
      <w:tr>
        <w:trPr/>
        <w:tc>
          <w:tcPr>
            <w:tcW w:w="719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Sales of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2,621,429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3" w:name="xdx_40D_eus-gaap--PaymentsToAcquireIntan"/>
            <w:bookmarkEnd w:id="283"/>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(93,416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4" w:name="xdx_40E_eus-gaap--CashProvidedByUsedInIn"/>
            <w:bookmarkEnd w:id="284"/>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activities -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5" w:name="xdx_402_eus-gaap--NetCashProvidedByUsedI"/>
            <w:bookmarkEnd w:id="285"/>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(15,881,487</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(1,907,400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6" w:name="xdx_40B_eus-gaap--NetCashProvidedByUsedI"/>
            <w:bookmarkEnd w:id="286"/>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7" w:name="xdx_408_eus-gaap--ProceedsFromConvertibl"/>
            <w:bookmarkEnd w:id="287"/>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issuance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8" w:name="xdx_400_eus-gaap--ProceedsFromIssuanceOf"/>
            <w:bookmarkEnd w:id="288"/>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issuance of warrants, common shares and preferred shares in private placement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7,711,544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4,562,400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9" w:name="xdx_407_eus-gaap--ProceedsFromIssuanceOf"/>
            <w:bookmarkEnd w:id="289"/>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issuance of common shares and preferred shares in private placement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34,200,000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0" w:name="xdx_40C_eus-gaap--ProceedsFromIssuanceIn"/>
            <w:bookmarkEnd w:id="290"/>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common shares and prefunded warrants in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3,053,348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1" w:name="xdx_40D_eus-gaap--RepaymentsOfConvertibl"/>
            <w:bookmarkEnd w:id="291"/>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(499,021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92" w:name="xdx_40F_eus-gaap--RepaymentsOfDebt_i01N_"/>
            <w:bookmarkEnd w:id="292"/>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(4,408,500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93" w:name="xdx_40C_eus-gaap--ProceedsFromWarrantExe"/>
            <w:bookmarkEnd w:id="293"/>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warrant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415,981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4" w:name="xdx_402_eus-gaap--ProceedsFromIssuanceOf"/>
            <w:bookmarkEnd w:id="294"/>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5" w:name="xdx_40D_eus-gaap--NetCashProvidedByUsedI"/>
            <w:bookmarkEnd w:id="295"/>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 -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40,991,044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9,007,708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6" w:name="xdx_406_eus-gaap--CashProvidedByUsedInFi"/>
            <w:bookmarkEnd w:id="296"/>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 -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7" w:name="xdx_40C_eus-gaap--NetCashProvidedByUsedI"/>
            <w:bookmarkEnd w:id="297"/>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40,991,044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9,007,708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8" w:name="xdx_40D_eus-gaap--CashCashEquivalentsRes"/>
            <w:bookmarkEnd w:id="298"/>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18,158,099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772,805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9" w:name="xdx_404_eus-gaap--CashCashEquivalentsRes"/>
            <w:bookmarkEnd w:id="299"/>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1,174,608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401,803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0" w:name="xdx_401_eus-gaap--CashCashEquivalentsRes"/>
            <w:bookmarkEnd w:id="300"/>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19,332,707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1,174,608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1" w:name="xdx_405_eus-gaap--SupplementalCashFlowIn"/>
            <w:bookmarkEnd w:id="301"/>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2" w:name="xdx_405_eus-gaap--InterestPaidNet_i01_zm"/>
            <w:bookmarkEnd w:id="302"/>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1,010,500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92,838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3" w:name="xdx_405_eus-gaap--IncomeTaxesPaidNet_i01"/>
            <w:bookmarkEnd w:id="303"/>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4" w:name="xdx_40A_eus-gaap--NoncashInvestingAndFin"/>
            <w:bookmarkEnd w:id="304"/>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FINANCING AND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5" w:name="xdx_40A_ecustom--VoluntaryConversionOfCo"/>
            <w:bookmarkEnd w:id="305"/>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conversion of convertible debt into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6" w:name="xdx_406_ecustom--MonthlyRedemptionsOfCon"/>
            <w:bookmarkEnd w:id="306"/>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redemption of convertible debt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903,329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7" w:name="xdx_408_ecustom--VoluntaryConversionOfCo"/>
            <w:bookmarkEnd w:id="307"/>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conversion of convertible debt into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735,083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8" w:name="xdx_407_ecustom--DeemedDividendArisingFr"/>
            <w:bookmarkEnd w:id="308"/>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arising from warrant and preferred shares down-round provision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2,562,867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9" w:name="xdx_40E_ecustom--ExchangeOfDerivativeLia"/>
            <w:bookmarkEnd w:id="309"/>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of derivative liability for warrant and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675,625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0" w:name="xdx_40B_ecustom--RestrictedShareSettleme"/>
            <w:bookmarkEnd w:id="310"/>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settlements issued to former board members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1" w:name="xdx_40C_ecustom--WarrantsReclassifiedToE"/>
            <w:bookmarkEnd w:id="311"/>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reclassified to equity from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197,456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2" w:name="xdx_402_ecustom--WarrantsReclassifiedToL"/>
            <w:bookmarkEnd w:id="312"/>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reclassified to liabilities from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262,259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3" w:name="xdx_400_ecustom--IssuanceOfWarrantsToPla"/>
            <w:bookmarkEnd w:id="313"/>
          </w:p>
        </w:tc>
      </w:tr>
      <w:tr>
        <w:trPr/>
        <w:tc>
          <w:tcPr>
            <w:tcW w:w="7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warrants to placement agent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5,340,491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4" w:name="xdx_405_eus-gaap--StockIssued1_i01_zAJDC"/>
            <w:bookmarkEnd w:id="314"/>
          </w:p>
        </w:tc>
      </w:tr>
      <w:tr>
        <w:trPr/>
        <w:tc>
          <w:tcPr>
            <w:tcW w:w="7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for the conversion of Series A-2 and Series A-3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9,315,298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5" w:name="fin_007"/>
      <w:bookmarkEnd w:id="315"/>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bookmarkStart w:id="316" w:name="xdx_807_eus-gaap--OrganizationConsolidat"/>
      <w:bookmarkEnd w:id="316"/>
      <w:r>
        <w:rPr>
          <w:rFonts w:ascii="Times New Roman;Times;Serif" w:hAnsi="Times New Roman;Times;Serif"/>
          <w:b/>
          <w:i w:val="false"/>
          <w:caps w:val="false"/>
          <w:smallCaps w:val="false"/>
          <w:sz w:val="20"/>
        </w:rPr>
        <w:t xml:space="preserve">NOTE 1 — </w:t>
      </w:r>
      <w:bookmarkStart w:id="317" w:name="xdx_823_zBjhS0TzadIj"/>
      <w:bookmarkEnd w:id="317"/>
      <w:r>
        <w:rPr>
          <w:rFonts w:ascii="Times New Roman;Times;Serif" w:hAnsi="Times New Roman;Times;Serif"/>
          <w:b/>
          <w:i w:val="false"/>
          <w:caps w:val="false"/>
          <w:smallCaps w:val="false"/>
          <w:sz w:val="20"/>
        </w:rPr>
        <w:t>BUSINESS AND SUMMARY OF SIGNIFICANT ACCOUNTING POLICIES AND ESTIMATES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8" w:name="xdx_843_eus-gaap--InvestmentPolicyTextBl"/>
      <w:bookmarkEnd w:id="318"/>
      <w:r>
        <w:rPr>
          <w:rFonts w:ascii="Times New Roman;Times;Serif" w:hAnsi="Times New Roman;Times;Serif"/>
          <w:b/>
          <w:i/>
          <w:caps w:val="false"/>
          <w:smallCaps w:val="false"/>
          <w:sz w:val="20"/>
        </w:rPr>
        <w:t>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Ritter Pharmaceuticals, Inc. (the Company</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s predecessor) was formed as a Nevada limited liability company on March 29, 2004 under the name Ritter Natural Sciences, LLC. In September 2008, this company converted into a Delaware corporation under the name Ritter Pharmaceuticals, Inc. On May 22, 2020, upon completing a “reverse recapitalization” transaction with Qualigen, Inc., Ritter Pharmaceuticals, Inc. was renamed Qualigen Therapeutics, Inc. (the “Company”). Qualisys Diagnostics, Inc. was formed as a Minnesota corporation in 1996, reincorporated to become a Delaware corporation in 1999, and then changed its name to Qualigen, Inc. in 2000. Qualigen, Inc. was a wholly-owned subsidiary of the Company. On July 20, 2023, the Company sold all of the issued and outstanding shares of common stock of Qualigen, Inc. to Chembio Diagnostics, Inc. (“Chembio”), a wholly-owned subsidiary of Biosynex, S.A. (“Biosynex”). Following the consummation of this transaction, Qualigen, Inc. became a wholly-owned subsidiary of Chembio (see Note 7 – Discontinued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the Company acquired a </w:t>
      </w:r>
      <w:bookmarkStart w:id="319" w:name="xdx_90F_eus-gaap--BusinessAcquisitionPer"/>
      <w:bookmarkEnd w:id="319"/>
      <w:r>
        <w:rPr>
          <w:rFonts w:ascii="Times New Roman;Times;Serif" w:hAnsi="Times New Roman;Times;Serif"/>
          <w:b w:val="false"/>
          <w:i w:val="false"/>
          <w:caps w:val="false"/>
          <w:smallCaps w:val="false"/>
          <w:sz w:val="20"/>
        </w:rPr>
        <w:t>52.8% interest in NanoSynex, Ltd. (“NanoSynex”). In 2023, the Company entered into an Amendment and Settlement Agreement with NanoSynex (the “NanoSynex Amendment”), which resulted in the Company losing its controlling interest in NanoSynex.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consummated a Subscription Agreement (the “Subscription Agreement”) with certain investors including Faraday Future Intelligent Electric Inc. (NASDAQ: FFAI) (the “Lead Investor” or “Faraday”) pursuant to which the investors purchased $</w:t>
      </w:r>
      <w:bookmarkStart w:id="320" w:name="xdx_900_eus-gaap--ProceedsFromIssuanceOf"/>
      <w:bookmarkEnd w:id="320"/>
      <w:r>
        <w:rPr>
          <w:rFonts w:ascii="Times New Roman;Times;Serif" w:hAnsi="Times New Roman;Times;Serif"/>
          <w:b w:val="false"/>
          <w:i w:val="false"/>
          <w:caps w:val="false"/>
          <w:smallCaps w:val="false"/>
          <w:sz w:val="20"/>
        </w:rPr>
        <w:t>40.7 million (the “Offering”) of the Company’s common stock and shares of a newly created Series B Convertible Preferred Stock, par value $</w:t>
      </w:r>
      <w:bookmarkStart w:id="321" w:name="xdx_90A_eus-gaap--PreferredStockParOrSta"/>
      <w:bookmarkEnd w:id="321"/>
      <w:r>
        <w:rPr>
          <w:rFonts w:ascii="Times New Roman;Times;Serif" w:hAnsi="Times New Roman;Times;Serif"/>
          <w:b w:val="false"/>
          <w:i w:val="false"/>
          <w:caps w:val="false"/>
          <w:smallCaps w:val="false"/>
          <w:sz w:val="20"/>
        </w:rPr>
        <w:t>0.001 per share (the “Series B Preferred Stock”) (see Note 15 - Stockholders’ Equity). This offering resulted in $</w:t>
      </w:r>
      <w:bookmarkStart w:id="322" w:name="xdx_909_eus-gaap--ProceedsFromIssuanceOf"/>
      <w:bookmarkEnd w:id="322"/>
      <w:r>
        <w:rPr>
          <w:rFonts w:ascii="Times New Roman;Times;Serif" w:hAnsi="Times New Roman;Times;Serif"/>
          <w:b w:val="false"/>
          <w:i w:val="false"/>
          <w:caps w:val="false"/>
          <w:smallCaps w:val="false"/>
          <w:sz w:val="20"/>
        </w:rPr>
        <w:t>37.7 million in net proceeds after $</w:t>
      </w:r>
      <w:bookmarkStart w:id="323" w:name="xdx_903_eus-gaap--PaymentsOfStockIssuanc"/>
      <w:bookmarkEnd w:id="323"/>
      <w:r>
        <w:rPr>
          <w:rFonts w:ascii="Times New Roman;Times;Serif" w:hAnsi="Times New Roman;Times;Serif"/>
          <w:b w:val="false"/>
          <w:i w:val="false"/>
          <w:caps w:val="false"/>
          <w:smallCaps w:val="false"/>
          <w:sz w:val="20"/>
        </w:rPr>
        <w:t>3.0 million in issuance costs were deducted. Up to $</w:t>
      </w:r>
      <w:bookmarkStart w:id="324" w:name="xdx_901_eus-gaap--ProceedsFromIssuanceIn"/>
      <w:bookmarkEnd w:id="324"/>
      <w:r>
        <w:rPr>
          <w:rFonts w:ascii="Times New Roman;Times;Serif" w:hAnsi="Times New Roman;Times;Serif"/>
          <w:b w:val="false"/>
          <w:i w:val="false"/>
          <w:caps w:val="false"/>
          <w:smallCaps w:val="false"/>
          <w:sz w:val="20"/>
        </w:rPr>
        <w:t>6.8 million of the net proceeds from the Offering were used to pay existing debt and fund the Company’s existing business operations, and the balance of the cash proceeds and contributed currency will be used for the execution of the Company’s cryptocurrency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5" w:name="xdx_841_eus-gaap--BasisOfAccountingPolic"/>
      <w:bookmarkEnd w:id="325"/>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Company have been prepared in conformity with accounting principles generally accepted in the United States of America (“U.S. GAAP”), Regulation S-X and rules and regulations of the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6" w:name="xdx_84F_eus-gaap--ConsolidationPolicyTex"/>
      <w:bookmarkEnd w:id="326"/>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wholly-owned subsidiaries. All intercompany balances and transactions have been eliminated in consolidation. In general, the functional currency of the Company is the U.S. dollar. There were no foreign currency transactions in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20, 2023, NanoSynex was deconsolidated from these financial statements as the transactions contemplated by the NanoSynex Amendment resulted in a loss of control of a subsidiary that constitutes a business under Accounting Standards Codification (“ASC”) 810. The retained investment in NanoSynex is accounted for prospectively as an equity method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7" w:name="xdx_848_eus-gaap--DiscontinuedOperations"/>
      <w:bookmarkEnd w:id="327"/>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2023, the Company completed the sale of Qualigen, Inc. to Chembio Diagnostics, Inc. The sale of Qualigen Inc. constituted a significant disposition and as such, the Company concluded that the disposition of ownership in Qualigen, Inc. represented a strategic shift that had a major effect on its operations and financial results. Therefore, Qualigen, Inc. is classified as discontinued operations for all periods presented herein.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20, 2023, the Company entered into the NanoSynex Amendment, which amended the Master Funding Agreement for the Operational and Technology Funding of NanoSynex Ltd., dated May 26, 2022, by and between the Company and NanoSynex (the “NanoSynex Funding Agreement”), a former majority owned subsidiary of the Company, to, among other things, forfeit </w:t>
      </w:r>
      <w:bookmarkStart w:id="328" w:name="xdx_90E_eus-gaap--ShareBasedCompensation"/>
      <w:bookmarkEnd w:id="328"/>
      <w:r>
        <w:rPr>
          <w:rFonts w:ascii="Times New Roman;Times;Serif" w:hAnsi="Times New Roman;Times;Serif"/>
          <w:b w:val="false"/>
          <w:i w:val="false"/>
          <w:caps w:val="false"/>
          <w:smallCaps w:val="false"/>
          <w:sz w:val="20"/>
        </w:rPr>
        <w:t xml:space="preserve">281,000 Series B Preferred Shares of NanoSynex held by the Company, resulting in the deconsolidation of NanoSynex.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9" w:name="xdx_84E_eus-gaap--UseOfEstimates_z8vZl2L"/>
      <w:bookmarkEnd w:id="329"/>
      <w:r>
        <w:rPr>
          <w:rFonts w:ascii="Times New Roman;Times;Serif" w:hAnsi="Times New Roman;Times;Serif"/>
          <w:b/>
          <w:i/>
          <w:caps w:val="false"/>
          <w:smallCaps w:val="false"/>
          <w:sz w:val="20"/>
        </w:rPr>
        <w:t>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estimates and assumptions in preparing its consolidated financial statements in accordance with U.S. GAAP. Those estimates and assumptions affect the reported amounts of assets and liabilities, the disclosure of contingent assets and liabilities, and the reported revenues and expenses. The Company’s estimates relate to the estimated fair value of convertible debt, warrant liabilities, and determination of the allowance for credit losses. Actual results could vary from the estimates that were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0" w:name="xdx_866_zfYiauGQRQrf"/>
      <w:bookmarkStart w:id="331" w:name="xdx_843_ecustom--RelatedPartiesAndRelate"/>
      <w:bookmarkEnd w:id="330"/>
      <w:bookmarkEnd w:id="331"/>
      <w:r>
        <w:rPr>
          <w:rFonts w:ascii="Times New Roman;Times;Serif" w:hAnsi="Times New Roman;Times;Serif"/>
          <w:b/>
          <w:i/>
          <w:caps w:val="false"/>
          <w:smallCaps w:val="false"/>
          <w:sz w:val="20"/>
        </w:rPr>
        <w:t>Related Parties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is a person who has the ability to exert significant influence over the Company and may include executive officers and directors, including members of their immediate families, shareholders owning more than 10% of the Company’s voting securities, or other entities deemed to be affiliates, as defined in ASC 850, Related Party Disclosures. The Company assesses its related parties and applicable disclosures on a quarterly basis, considering all relevant facts and circumstances.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2" w:name="xdx_846_ecustom--ReverseStockSplitPolicy"/>
      <w:bookmarkEnd w:id="332"/>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5, 2024, the Company effected a </w:t>
      </w:r>
      <w:bookmarkStart w:id="333" w:name="xdx_900_eus-gaap--StockholdersEquityReve"/>
      <w:bookmarkEnd w:id="333"/>
      <w:r>
        <w:rPr>
          <w:rFonts w:ascii="Times New Roman;Times;Serif" w:hAnsi="Times New Roman;Times;Serif"/>
          <w:b w:val="false"/>
          <w:i w:val="false"/>
          <w:caps w:val="false"/>
          <w:smallCaps w:val="false"/>
          <w:sz w:val="20"/>
        </w:rPr>
        <w:t>1-for-50 reverse stock split of its outstanding shares of common stock (the “2024 Reverse Stock Split”). The 2024 Reverse Stock Split reduced the Company’s shares of outstanding common stock, stock options, and warrants to purchase shares of common stock. Fractional shares of common stock that would have otherwise resulted from the 2024 Reverse Stock Split were rounded down to the nearest whole share and cash in lieu of fractional shares was paid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data for all periods presented in the accompanying financial statements and the related disclosures have been adjusted retrospectively to reflect the reverse stock  split. The number of authorized shares of common stock and the par value per share remains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4" w:name="xdx_845_eus-gaap--CashAndCashEquivalents"/>
      <w:bookmarkEnd w:id="334"/>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an initial maturity of 90 days or less and money market funds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majority of its cash in accounts at banking institutions in the U.S. that are of high quality. Cash held in these accounts often exceed the Federal Deposit Insurance Corporation (FDIC) insurance limits. If such banking institutions were to fail, the Company could lose all or a portion of amounts held in excess of such insurance limitations. As of December 31, 2025, the Company had not experienced losses on these accounts, and management believes the Company is not exposed to significant risk on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5" w:name="xdx_843_ecustom--PlatformOperatorsCrypto"/>
      <w:bookmarkEnd w:id="335"/>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in accordance with ASC 350, Intangibles—Goodwill and Other, as amended by ASU 2023-08, Accounting for and Disclosure of Crypto Assets. The Company adopted ASU 2023-08 effective January 1, 2025. Digital assets held by the Company, including Bitcoin, Cardano, Chainlink, Dogecoin, Ethereum, Hyperliquid EVM, Native BNB, Ripple, Solana, Tether (USDT), and Tron, meet the scope criteria of ASU 2023-08 and are recognized as indefinite-lived intangible assets. These assets are initially recorded at cost , including transaction fees, upon obtaining control of the asset, and are measured subsequently at fair value with changes in value recognized in net income or loss. The Company uses a FIFO methodology to assign costs to digital assets for purposes of the digital assets held and realized gains and losses disclosures. Purchases and sales of digital assets that are not revenue arrangements are classified on the statement of cash flows as investing activities. Net loss on digital assets are adjusted in operating activities in the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bookmarkStart w:id="336" w:name="xdx_84B_eus-gaap--SellingGeneralAndAdmin"/>
      <w:bookmarkEnd w:id="336"/>
      <w:r>
        <w:rPr>
          <w:rFonts w:ascii="Times New Roman;Times;Serif" w:hAnsi="Times New Roman;Times;Serif"/>
          <w:b/>
          <w:i/>
          <w:caps w:val="false"/>
          <w:smallCaps w:val="false"/>
          <w:sz w:val="20"/>
        </w:rPr>
        <w:t>General and Administrative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December 2024, the Company engaged IR Agency LLC to provide marketing and advertising services to communicate information about the Company to the investment community. During the year ended December 31, 2025, expenses related to the work performed by IR Agency LLC totaled $</w:t>
      </w:r>
      <w:bookmarkStart w:id="337" w:name="xdx_909_eus-gaap--SellingGeneralAndAdmin"/>
      <w:bookmarkEnd w:id="337"/>
      <w:r>
        <w:rPr>
          <w:rFonts w:ascii="Times New Roman;Times;Serif" w:hAnsi="Times New Roman;Times;Serif"/>
          <w:b w:val="false"/>
          <w:i w:val="false"/>
          <w:caps w:val="false"/>
          <w:smallCaps w:val="false"/>
          <w:sz w:val="20"/>
        </w:rPr>
        <w:t xml:space="preserve">1.5  million, or roughly </w:t>
      </w:r>
      <w:bookmarkStart w:id="338" w:name="xdx_902_ecustom--OperatingExpensesPercen"/>
      <w:bookmarkEnd w:id="338"/>
      <w:r>
        <w:rPr>
          <w:rFonts w:ascii="Times New Roman;Times;Serif" w:hAnsi="Times New Roman;Times;Serif"/>
          <w:b w:val="false"/>
          <w:i w:val="false"/>
          <w:caps w:val="false"/>
          <w:smallCaps w:val="false"/>
          <w:sz w:val="20"/>
        </w:rPr>
        <w:t xml:space="preserve">17% of operating expenses for that period. The Company deemed this expense necessary at the time to raise additional funding which would provide liquidity to the Company for business operations . This expense is not anticipated to be recurring in future periods.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9" w:name="xdx_847_ecustom--SoftwareCapitalizationP"/>
      <w:bookmarkEnd w:id="339"/>
      <w:r>
        <w:rPr>
          <w:rFonts w:ascii="Times New Roman;Times;Serif" w:hAnsi="Times New Roman;Times;Serif"/>
          <w:b/>
          <w:i/>
          <w:caps w:val="false"/>
          <w:smallCaps w:val="false"/>
          <w:sz w:val="20"/>
        </w:rPr>
        <w:t>Software Capitalization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costs incurred in developing its product offerings under ASC 350-40, </w:t>
      </w: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guidance in ASC 350-40, the Company will capitalize costs incurred in connection with the development of the Company’s product offerings during the application development stage. Costs incurred during the preliminary project and post-implementation stages are expensed as incurred. Costs incurred in connection with maintenance activities, including training or bug fixes are also expensed as incurred. The Company stops capitalizing qualifying costs once development activities are completed and the project is ready for its intended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software costs will be amortized on a straight-line basis over a 36-month useful life beginning on the date when the product is ready for its intended use. Management will subsequently test the capitalized software costs for impairment when events or changes in circumstances indicate that the carrying amount may not be recoverable in accordance with ASC 360.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0" w:name="xdx_84F_eus-gaap--ResearchAndDevelopment"/>
      <w:bookmarkEnd w:id="340"/>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acquired in process research and development (IPR&amp;D ), the Company expenses research and development costs as incurred including therapeutics license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1" w:name="xdx_846_ecustom--PatentCostsPolicyTextBl"/>
      <w:bookmarkEnd w:id="341"/>
      <w:r>
        <w:rPr>
          <w:rFonts w:ascii="Times New Roman;Times;Serif" w:hAnsi="Times New Roman;Times;Serif"/>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2" w:name="xdx_84B_ecustom--DerivativeFinancialInst"/>
      <w:bookmarkEnd w:id="342"/>
      <w:r>
        <w:rPr>
          <w:rFonts w:ascii="Times New Roman;Times;Serif" w:hAnsi="Times New Roman;Times;Serif"/>
          <w:b/>
          <w:i/>
          <w:caps w:val="false"/>
          <w:smallCaps w:val="false"/>
          <w:sz w:val="20"/>
        </w:rPr>
        <w:t>Derivative Financial Instruments and Warrant Liabilities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For derivative financial instruments that are accounted for as liabilities, the derivative instrument is initially recorded at its fair value and is then re-valued at each reporting date, with changes in the fair value reported in the consolidated statements of operations and comprehensive loss. Depending on the features of the derivative financial instrument, the Company uses either the Black-Scholes option-pricing model or a Monte-Carlo simulation  to value the derivative instruments at inception and subsequent valuation dates. The classification of derivative instruments, including whether such instruments should be recorded as liabilities or as equity, is re-assessed at the end of each reporting period (See Note 9 – Warrant Liabilities).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3" w:name="xdx_841_eus-gaap--FairValueMeasurementPo"/>
      <w:bookmarkEnd w:id="343"/>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measurements of applicable assets and liabilities based on a three-tier fair value hierarchy established by accounting guidance and prioritizes the inputs used in measuring fair value.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that reflect unadjusted quoted prices in active markets for identical assets or liabilities that the Company has the ability to access at the measurement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quoted prices that are observable for the assets or liability either directly or indirectly, including inputs in markets that are not considered to be active;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4" w:name="xdx_841_eus-gaap--FairValueOfFinancialIn"/>
      <w:bookmarkEnd w:id="344"/>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prepaid expenses, and accrued liabilities are carried at cost, which management believes approximates fair value due to the short-term nature of these instruments. Short-term notes receivable are valued subject to a current expected credit loss (“CECL”) model (see Note 6 - Short-Term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Company’s warrant liabilities as of December 31, 2025 was determined using the Black-Scholes Model. Significant assumptions used in the valuation include the expected volatility of the Company’s common stock, the contractual term of the warrants, the risk-free interest rate, and an expected dividend yield of zero. Expected volatility is based on a blend of comparable public company data and, as available, the Company’s own historical volatility. The risk-free rate is derived from U.S. Treasury yields with maturities commensurate with the remaining contractual term of the warrants. Fair value measurements associated with the liability-classified warrants represent Level 3 valuations under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elects the fair value option to account for certain debt liabilities. Electing the fair value option allows the Company to initially and subsequently measure such liabilities at fair value rather than amortized cost and may be applied to debt liabilities that contain conversion or other features that would otherwise require bifurcation and mark to market accounting. Such debt liabilities will initially be measured using valuation techniques appropriate to the terms and expected life of the note. The Company expects to use level 3 input to measure the fair value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5" w:name="xdx_849_eus-gaap--CompensationRelatedCos"/>
      <w:bookmarkEnd w:id="345"/>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cost for equity awards granted to employees and non-employees is measured at the grant date based on the calculated fair value of the award using the Black-Scholes option-pricing model, and is recognized as an expense, under the straight-line method, over the requisite service period (generally the vesting period of the equity grant). If the Company determines that other methods are more reasonable, or other methods for calculating these assumptions are prescribed by regulators, the fair value calculated for the Company’s stock options could change significantly. Higher volatility, lower risk-free interest rates, and longer expected lives would result in an increase to stock-based compensation expense to employees and non-employees determined at the date of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6" w:name="xdx_840_eus-gaap--IncomeTaxPolicyTextBlo"/>
      <w:bookmarkEnd w:id="346"/>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recognized for temporary differences in the basis of assets and liabilities for financial statement and income tax reporting that arise due to net operating loss carry forwards, research and development credit carry forwards and from using different methods and periods to calculate depreciation and amortization, allowance for doubtful accounts, accrued vacation, research and development expenses, and state taxes. A provision has been made for income taxes due on taxable income and for the deferred taxes on the temporary differences. The Company recognizes interest and penalties accrued on any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Realization of the deferred income tax asset is dependent on generating sufficient taxable income in future years. See Note 18 - Income Taxes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7" w:name="xdx_844_eus-gaap--NewAccountingPronounce"/>
      <w:bookmarkEnd w:id="347"/>
      <w:r>
        <w:rPr>
          <w:rFonts w:ascii="Times New Roman;Times;Serif" w:hAnsi="Times New Roman;Times;Serif"/>
          <w:b/>
          <w:i/>
          <w:caps w:val="false"/>
          <w:smallCaps w:val="false"/>
          <w:sz w:val="20"/>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w:t>
      </w:r>
      <w:r>
        <w:rPr>
          <w:rFonts w:ascii="Times New Roman;Times;Serif" w:hAnsi="Times New Roman;Times;Serif"/>
          <w:b w:val="false"/>
          <w:i/>
          <w:caps w:val="false"/>
          <w:smallCaps w:val="false"/>
          <w:sz w:val="20"/>
        </w:rPr>
        <w:t xml:space="preserve">ASU 2023-09, Improvements to Income Tax Disclosures (Topic 740) </w:t>
      </w:r>
      <w:r>
        <w:rPr>
          <w:rFonts w:ascii="Times New Roman;Times;Serif" w:hAnsi="Times New Roman;Times;Serif"/>
          <w:b w:val="false"/>
          <w:i w:val="false"/>
          <w:caps w:val="false"/>
          <w:smallCaps w:val="false"/>
          <w:sz w:val="20"/>
        </w:rPr>
        <w:t>(“ASU 2023-09”), which requires more detailed income tax disclosures. The guidance requires entities to disclose disaggregated information about their effective tax rate reconciliation as well as expanded information on income taxes paid by jurisdiction. The Company adopted this standard as of December 31, 2025 and included revised disclosures with Note 18 – Income Taxes. The adoption of this standard did not have a material impact on our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w:t>
      </w:r>
      <w:r>
        <w:rPr>
          <w:rFonts w:ascii="Times New Roman;Times;Serif" w:hAnsi="Times New Roman;Times;Serif"/>
          <w:b w:val="false"/>
          <w:i/>
          <w:caps w:val="false"/>
          <w:smallCaps w:val="false"/>
          <w:sz w:val="20"/>
        </w:rPr>
        <w:t xml:space="preserve">ASU 2025-06, Intangibles - Goodwill and Other - Internal-Use Software (Subtopic 350-40): Accounting for and Disclosure of Software Costs </w:t>
      </w:r>
      <w:r>
        <w:rPr>
          <w:rFonts w:ascii="Times New Roman;Times;Serif" w:hAnsi="Times New Roman;Times;Serif"/>
          <w:b w:val="false"/>
          <w:i w:val="false"/>
          <w:caps w:val="false"/>
          <w:smallCaps w:val="false"/>
          <w:sz w:val="20"/>
        </w:rPr>
        <w:t>(“ASU 2025-06”), which amends certain aspects of the accounting for and disclosure of internal-use software costs. ASU 2025-06 is effective for annual reporting periods beginning with the year ending December 31, 2028, with early adoption permitted. The Company adopted this standard as of December 31, 2025, and it did not have a material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8" w:name="xdx_842_ecustom--AccountingStandardsUpda"/>
      <w:bookmarkEnd w:id="348"/>
      <w:r>
        <w:rPr>
          <w:rFonts w:ascii="Times New Roman;Times;Serif" w:hAnsi="Times New Roman;Times;Serif"/>
          <w:b/>
          <w:i/>
          <w:caps w:val="false"/>
          <w:smallCaps w:val="false"/>
          <w:sz w:val="20"/>
        </w:rPr>
        <w:t xml:space="preserve">Recently Issued Accounting Standards Not Yet Adopted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w:t>
      </w:r>
      <w:r>
        <w:rPr>
          <w:rFonts w:ascii="Times New Roman;Times;Serif" w:hAnsi="Times New Roman;Times;Serif"/>
          <w:b w:val="false"/>
          <w:i/>
          <w:caps w:val="false"/>
          <w:smallCaps w:val="false"/>
          <w:sz w:val="20"/>
        </w:rPr>
        <w:t>ASU 2025-11, Interim Reporting (Topic 270): Narrow-Scope Improvements</w:t>
      </w:r>
      <w:r>
        <w:rPr>
          <w:rFonts w:ascii="Times New Roman;Times;Serif" w:hAnsi="Times New Roman;Times;Serif"/>
          <w:b w:val="false"/>
          <w:i w:val="false"/>
          <w:caps w:val="false"/>
          <w:smallCaps w:val="false"/>
          <w:sz w:val="20"/>
        </w:rPr>
        <w:t>, which clarifies interim disclosure requirements resulting in a comprehensive list of interim disclosures that are required by GAAP, and includes a disclosure principle that requires the disclosure of events since the end of the last annual reporting period that have a material impact on the Company. ASU 2025-11 is effective for the Company’s interim financial statements beginning with the first fiscal quarter of the year ended December 31, 2028, with early adoption permitted. ASU 2025-11 may be applied either prospectively or retrospectively. The Company is evaluating the disclosure requirements related to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any other recently issued, but not yet effective accounting pronouncements, if adopted, would have a material impact on our consolidated financial statements or disclosures.</w:t>
      </w:r>
    </w:p>
    <w:p>
      <w:pPr>
        <w:pStyle w:val="TextBody"/>
        <w:bidi w:val="0"/>
        <w:spacing w:before="0" w:after="0"/>
        <w:ind w:left="0" w:right="0" w:hanging="0"/>
        <w:jc w:val="both"/>
        <w:rPr>
          <w:caps w:val="false"/>
          <w:smallCaps w:val="false"/>
        </w:rPr>
      </w:pPr>
      <w:bookmarkStart w:id="349" w:name="xdx_857_znDg4sJ37JOk"/>
      <w:bookmarkEnd w:id="3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0" w:name="xdx_804_eus-gaap--SubstantialDoubtAboutG"/>
      <w:bookmarkEnd w:id="350"/>
      <w:r>
        <w:rPr>
          <w:rFonts w:ascii="Times New Roman;Times;Serif" w:hAnsi="Times New Roman;Times;Serif"/>
          <w:b/>
          <w:i w:val="false"/>
          <w:caps w:val="false"/>
          <w:smallCaps w:val="false"/>
          <w:sz w:val="20"/>
        </w:rPr>
        <w:t xml:space="preserve">NOTE 2 — </w:t>
      </w:r>
      <w:bookmarkStart w:id="351" w:name="xdx_82C_zM6GW9JtyUY1"/>
      <w:bookmarkEnd w:id="351"/>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approximately $</w:t>
      </w:r>
      <w:bookmarkStart w:id="352" w:name="xdx_900_eus-gaap--Cash_iI_pn5n6_c2025123"/>
      <w:bookmarkEnd w:id="352"/>
      <w:r>
        <w:rPr>
          <w:rFonts w:ascii="Times New Roman;Times;Serif" w:hAnsi="Times New Roman;Times;Serif"/>
          <w:b w:val="false"/>
          <w:i w:val="false"/>
          <w:caps w:val="false"/>
          <w:smallCaps w:val="false"/>
          <w:sz w:val="20"/>
        </w:rPr>
        <w:t>19.3 million in cash and an accumulated deficit of $</w:t>
      </w:r>
      <w:bookmarkStart w:id="353" w:name="xdx_902_eus-gaap--RetainedEarningsAccumu"/>
      <w:bookmarkEnd w:id="353"/>
      <w:r>
        <w:rPr>
          <w:rFonts w:ascii="Times New Roman;Times;Serif" w:hAnsi="Times New Roman;Times;Serif"/>
          <w:b w:val="false"/>
          <w:i w:val="false"/>
          <w:caps w:val="false"/>
          <w:smallCaps w:val="false"/>
          <w:sz w:val="20"/>
        </w:rPr>
        <w:t>140.0 million. For the years ended December 31, 2025 and 2024, the Company used cash of $</w:t>
      </w:r>
      <w:bookmarkStart w:id="354" w:name="xdx_906_eus-gaap--CashCashEquivalentsRes"/>
      <w:bookmarkEnd w:id="354"/>
      <w:r>
        <w:rPr>
          <w:rFonts w:ascii="Times New Roman;Times;Serif" w:hAnsi="Times New Roman;Times;Serif"/>
          <w:b w:val="false"/>
          <w:i w:val="false"/>
          <w:caps w:val="false"/>
          <w:smallCaps w:val="false"/>
          <w:sz w:val="20"/>
        </w:rPr>
        <w:t>7.0 million and $</w:t>
      </w:r>
      <w:bookmarkStart w:id="355" w:name="xdx_902_eus-gaap--CashCashEquivalentsRes"/>
      <w:bookmarkEnd w:id="355"/>
      <w:r>
        <w:rPr>
          <w:rFonts w:ascii="Times New Roman;Times;Serif" w:hAnsi="Times New Roman;Times;Serif"/>
          <w:b w:val="false"/>
          <w:i w:val="false"/>
          <w:caps w:val="false"/>
          <w:smallCaps w:val="false"/>
          <w:sz w:val="20"/>
        </w:rPr>
        <w:t>6.3 million, respectively, in operations, and generated no revenue in both years while suffering from recurring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borrowed a total of $</w:t>
      </w:r>
      <w:bookmarkStart w:id="356" w:name="xdx_908_eus-gaap--RepaymentsOfShortTermD"/>
      <w:bookmarkEnd w:id="356"/>
      <w:r>
        <w:rPr>
          <w:rFonts w:ascii="Times New Roman;Times;Serif" w:hAnsi="Times New Roman;Times;Serif"/>
          <w:b w:val="false"/>
          <w:i w:val="false"/>
          <w:caps w:val="false"/>
          <w:smallCaps w:val="false"/>
          <w:sz w:val="20"/>
        </w:rPr>
        <w:t>3.5 million from nine investors as promissory notes and convertible debt, each due within six months after the date of borrowing. In July 2025, the Company closed a private placement transaction to raise additional funding through the sale of equity, for a net total of $</w:t>
      </w:r>
      <w:bookmarkStart w:id="357" w:name="xdx_907_eus-gaap--ProceedsFromIssuanceOr"/>
      <w:bookmarkEnd w:id="357"/>
      <w:r>
        <w:rPr>
          <w:rFonts w:ascii="Times New Roman;Times;Serif" w:hAnsi="Times New Roman;Times;Serif"/>
          <w:b w:val="false"/>
          <w:i w:val="false"/>
          <w:caps w:val="false"/>
          <w:smallCaps w:val="false"/>
          <w:sz w:val="20"/>
        </w:rPr>
        <w:t>4.2 million. In September 2025, the Company closed a subscription agreement to raise additional funding through the sale of equity for a net total of $</w:t>
      </w:r>
      <w:bookmarkStart w:id="358" w:name="xdx_90A_eus-gaap--ProceedsFromIssuanceOr"/>
      <w:bookmarkEnd w:id="358"/>
      <w:r>
        <w:rPr>
          <w:rFonts w:ascii="Times New Roman;Times;Serif" w:hAnsi="Times New Roman;Times;Serif"/>
          <w:b w:val="false"/>
          <w:i w:val="false"/>
          <w:caps w:val="false"/>
          <w:smallCaps w:val="false"/>
          <w:sz w:val="20"/>
        </w:rPr>
        <w:t>37.7 million . While this $</w:t>
      </w:r>
      <w:bookmarkStart w:id="359" w:name="xdx_902_eus-gaap--ProceedsFromOtherEquit"/>
      <w:bookmarkEnd w:id="359"/>
      <w:r>
        <w:rPr>
          <w:rFonts w:ascii="Times New Roman;Times;Serif" w:hAnsi="Times New Roman;Times;Serif"/>
          <w:b w:val="false"/>
          <w:i w:val="false"/>
          <w:caps w:val="false"/>
          <w:smallCaps w:val="false"/>
          <w:sz w:val="20"/>
        </w:rPr>
        <w:t>37.7 million of cash was received, up to $</w:t>
      </w:r>
      <w:bookmarkStart w:id="360" w:name="xdx_902_eus-gaap--ProceedsFromIssuanceIn"/>
      <w:bookmarkEnd w:id="360"/>
      <w:r>
        <w:rPr>
          <w:rFonts w:ascii="Times New Roman;Times;Serif" w:hAnsi="Times New Roman;Times;Serif"/>
          <w:b w:val="false"/>
          <w:i w:val="false"/>
          <w:caps w:val="false"/>
          <w:smallCaps w:val="false"/>
          <w:sz w:val="20"/>
        </w:rPr>
        <w:t>6.8 million of the net cash proceeds will be used to pay existing debt and fund the Company’s existing research and development operations, and the balance of the cash proceeds will be used for the establishment of the Company’s new cryptocurrency treasury operations, and will therefore not readily be available  to fund immediate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The financial statements do not include any adjustments that would be necessary should the Company be unable to continue as a going concern, and therefore, be required to liquidate its assets and discharge its liabilities in other than the normal course of business and at amounts that may differ from those reflected in the accompanying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1" w:name="xdx_805_eus-gaap--CryptoAssetTextBlock_z"/>
      <w:bookmarkEnd w:id="361"/>
      <w:r>
        <w:rPr>
          <w:rFonts w:ascii="Times New Roman;Times;Serif" w:hAnsi="Times New Roman;Times;Serif"/>
          <w:b/>
          <w:i w:val="false"/>
          <w:caps w:val="false"/>
          <w:smallCaps w:val="false"/>
          <w:sz w:val="20"/>
        </w:rPr>
        <w:t xml:space="preserve">NOTE 3 — </w:t>
      </w:r>
      <w:bookmarkStart w:id="362" w:name="xdx_822_z27jPJpMkIw2"/>
      <w:bookmarkEnd w:id="362"/>
      <w:r>
        <w:rPr>
          <w:rFonts w:ascii="Times New Roman;Times;Serif" w:hAnsi="Times New Roman;Times;Serif"/>
          <w:b/>
          <w:i w:val="false"/>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strategic realignment completed in the fourth quarter of 2025, the Company began acquiring digital assets for investment purposes and for use within its programmable technology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digital assets consisting of cryptocurrencies, stablecoins, and other blockchain-based tokens, as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Significant Holdings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63" w:name="xdx_89A_eus-gaap--CryptoAssetHoldingTabl"/>
      <w:bookmarkEnd w:id="363"/>
      <w:r>
        <w:rPr>
          <w:rFonts w:ascii="Times New Roman;Times;Serif" w:hAnsi="Times New Roman;Times;Serif"/>
          <w:b w:val="false"/>
          <w:i w:val="false"/>
          <w:caps w:val="false"/>
          <w:smallCaps w:val="false"/>
          <w:sz w:val="20"/>
        </w:rPr>
        <w:t>As of December 31, 2025, the Company’s significant digital asset holdings consisted of the following:</w:t>
      </w:r>
    </w:p>
    <w:p>
      <w:pPr>
        <w:pStyle w:val="TextBody"/>
        <w:bidi w:val="0"/>
        <w:spacing w:before="0" w:after="0"/>
        <w:ind w:left="0" w:right="0" w:hanging="0"/>
        <w:jc w:val="left"/>
        <w:rPr>
          <w:caps w:val="false"/>
          <w:smallCaps w:val="false"/>
        </w:rPr>
      </w:pPr>
      <w:r>
        <w:rPr>
          <w:caps w:val="false"/>
          <w:smallCaps w:val="false"/>
        </w:rPr>
        <w:t> </w:t>
      </w:r>
      <w:bookmarkStart w:id="364" w:name="xdx_8B7_zv94NuK8EUri"/>
      <w:bookmarkEnd w:id="364"/>
      <w:r>
        <w:rPr>
          <w:rFonts w:ascii="Times New Roman;Times;Serif" w:hAnsi="Times New Roman;Times;Serif"/>
          <w:b w:val="false"/>
          <w:i w:val="false"/>
          <w:caps w:val="false"/>
          <w:smallCaps w:val="false"/>
          <w:sz w:val="20"/>
        </w:rPr>
        <w:t>SCHEDULE OF CRYPTO ASSET HOLDINGS </w:t>
      </w:r>
    </w:p>
    <w:tbl>
      <w:tblPr>
        <w:tblW w:w="6149" w:type="dxa"/>
        <w:jc w:val="left"/>
        <w:tblInd w:w="0" w:type="dxa"/>
        <w:tblLayout w:type="fixed"/>
        <w:tblCellMar>
          <w:top w:w="0" w:type="dxa"/>
          <w:left w:w="0" w:type="dxa"/>
          <w:bottom w:w="0" w:type="dxa"/>
          <w:right w:w="0" w:type="dxa"/>
        </w:tblCellMar>
      </w:tblPr>
      <w:tblGrid>
        <w:gridCol w:w="2195"/>
        <w:gridCol w:w="60"/>
        <w:gridCol w:w="63"/>
        <w:gridCol w:w="1036"/>
        <w:gridCol w:w="60"/>
        <w:gridCol w:w="60"/>
        <w:gridCol w:w="140"/>
        <w:gridCol w:w="1100"/>
        <w:gridCol w:w="60"/>
        <w:gridCol w:w="60"/>
        <w:gridCol w:w="140"/>
        <w:gridCol w:w="110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Cardano ADA (ADA)</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365" w:name="xdx_98F_eus-gaap--CryptoAssetNumberOfUni"/>
            <w:bookmarkEnd w:id="365"/>
          </w:p>
        </w:tc>
        <w:tc>
          <w:tcPr>
            <w:tcW w:w="1036" w:type="dxa"/>
            <w:tcBorders/>
            <w:shd w:fill="CCEEFF" w:val="clear"/>
            <w:vAlign w:val="center"/>
          </w:tcPr>
          <w:p>
            <w:pPr>
              <w:pStyle w:val="TableContents"/>
              <w:bidi w:val="0"/>
              <w:spacing w:before="0" w:after="283"/>
              <w:jc w:val="right"/>
              <w:rPr/>
            </w:pPr>
            <w:r>
              <w:rPr/>
              <w:t>238,136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66" w:name="xdx_986_eus-gaap--CryptoAssetCost_iI_c20"/>
            <w:bookmarkEnd w:id="366"/>
          </w:p>
        </w:tc>
        <w:tc>
          <w:tcPr>
            <w:tcW w:w="1100" w:type="dxa"/>
            <w:tcBorders/>
            <w:shd w:fill="CCEEFF" w:val="clear"/>
            <w:vAlign w:val="center"/>
          </w:tcPr>
          <w:p>
            <w:pPr>
              <w:pStyle w:val="TableContents"/>
              <w:bidi w:val="0"/>
              <w:spacing w:before="0" w:after="283"/>
              <w:jc w:val="right"/>
              <w:rPr/>
            </w:pPr>
            <w:r>
              <w:rPr/>
              <w:t>149,259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67" w:name="xdx_98A_eus-gaap--CryptoAssetFairValue_i"/>
            <w:bookmarkEnd w:id="367"/>
          </w:p>
        </w:tc>
        <w:tc>
          <w:tcPr>
            <w:tcW w:w="1100" w:type="dxa"/>
            <w:tcBorders/>
            <w:shd w:fill="CCEEFF" w:val="clear"/>
            <w:vAlign w:val="center"/>
          </w:tcPr>
          <w:p>
            <w:pPr>
              <w:pStyle w:val="TableContents"/>
              <w:bidi w:val="0"/>
              <w:spacing w:before="0" w:after="283"/>
              <w:jc w:val="right"/>
              <w:rPr/>
            </w:pPr>
            <w:r>
              <w:rPr/>
              <w:t>83,610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Native BNB (BSC)</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368" w:name="xdx_98F_eus-gaap--CryptoAssetNumberOfUni"/>
            <w:bookmarkEnd w:id="368"/>
          </w:p>
        </w:tc>
        <w:tc>
          <w:tcPr>
            <w:tcW w:w="1036" w:type="dxa"/>
            <w:tcBorders/>
            <w:shd w:fill="FFFFFF" w:val="clear"/>
            <w:vAlign w:val="center"/>
          </w:tcPr>
          <w:p>
            <w:pPr>
              <w:pStyle w:val="TableContents"/>
              <w:bidi w:val="0"/>
              <w:spacing w:before="0" w:after="283"/>
              <w:jc w:val="right"/>
              <w:rPr/>
            </w:pPr>
            <w:r>
              <w:rPr/>
              <w:t>1,454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9" w:name="xdx_981_eus-gaap--CryptoAssetCost_iI_c20"/>
            <w:bookmarkEnd w:id="369"/>
          </w:p>
        </w:tc>
        <w:tc>
          <w:tcPr>
            <w:tcW w:w="1100" w:type="dxa"/>
            <w:tcBorders/>
            <w:shd w:fill="FFFFFF" w:val="clear"/>
            <w:vAlign w:val="center"/>
          </w:tcPr>
          <w:p>
            <w:pPr>
              <w:pStyle w:val="TableContents"/>
              <w:bidi w:val="0"/>
              <w:spacing w:before="0" w:after="283"/>
              <w:jc w:val="right"/>
              <w:rPr/>
            </w:pPr>
            <w:r>
              <w:rPr/>
              <w:t>1,517,819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0" w:name="xdx_985_eus-gaap--CryptoAssetFairValue_i"/>
            <w:bookmarkEnd w:id="370"/>
          </w:p>
        </w:tc>
        <w:tc>
          <w:tcPr>
            <w:tcW w:w="1100" w:type="dxa"/>
            <w:tcBorders/>
            <w:shd w:fill="FFFFFF" w:val="clear"/>
            <w:vAlign w:val="center"/>
          </w:tcPr>
          <w:p>
            <w:pPr>
              <w:pStyle w:val="TableContents"/>
              <w:bidi w:val="0"/>
              <w:spacing w:before="0" w:after="283"/>
              <w:jc w:val="right"/>
              <w:rPr/>
            </w:pPr>
            <w:r>
              <w:rPr/>
              <w:t>1,251,051</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Bitcoin (BTC)</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371" w:name="xdx_98C_eus-gaap--CryptoAssetNumberOfUni"/>
            <w:bookmarkEnd w:id="371"/>
          </w:p>
        </w:tc>
        <w:tc>
          <w:tcPr>
            <w:tcW w:w="1036"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2" w:name="xdx_981_eus-gaap--CryptoAssetCost_iI_c20"/>
            <w:bookmarkEnd w:id="372"/>
          </w:p>
        </w:tc>
        <w:tc>
          <w:tcPr>
            <w:tcW w:w="1100" w:type="dxa"/>
            <w:tcBorders/>
            <w:shd w:fill="CCEEFF" w:val="clear"/>
            <w:vAlign w:val="center"/>
          </w:tcPr>
          <w:p>
            <w:pPr>
              <w:pStyle w:val="TableContents"/>
              <w:bidi w:val="0"/>
              <w:spacing w:before="0" w:after="283"/>
              <w:jc w:val="right"/>
              <w:rPr/>
            </w:pPr>
            <w:r>
              <w:rPr/>
              <w:t>5,489,227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3" w:name="xdx_98E_eus-gaap--CryptoAssetFairValue_i"/>
            <w:bookmarkEnd w:id="373"/>
          </w:p>
        </w:tc>
        <w:tc>
          <w:tcPr>
            <w:tcW w:w="1100" w:type="dxa"/>
            <w:tcBorders/>
            <w:shd w:fill="CCEEFF" w:val="clear"/>
            <w:vAlign w:val="center"/>
          </w:tcPr>
          <w:p>
            <w:pPr>
              <w:pStyle w:val="TableContents"/>
              <w:bidi w:val="0"/>
              <w:spacing w:before="0" w:after="283"/>
              <w:jc w:val="right"/>
              <w:rPr/>
            </w:pPr>
            <w:r>
              <w:rPr/>
              <w:t>4,535,208</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Dogecoin (DOGE)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374" w:name="xdx_981_eus-gaap--CryptoAssetNumberOfUni"/>
            <w:bookmarkEnd w:id="374"/>
          </w:p>
        </w:tc>
        <w:tc>
          <w:tcPr>
            <w:tcW w:w="1036" w:type="dxa"/>
            <w:tcBorders/>
            <w:shd w:fill="FFFFFF" w:val="clear"/>
            <w:vAlign w:val="center"/>
          </w:tcPr>
          <w:p>
            <w:pPr>
              <w:pStyle w:val="TableContents"/>
              <w:bidi w:val="0"/>
              <w:spacing w:before="0" w:after="283"/>
              <w:jc w:val="right"/>
              <w:rPr/>
            </w:pPr>
            <w:r>
              <w:rPr/>
              <w:t>2,292,863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5" w:name="xdx_981_eus-gaap--CryptoAssetCost_iI_c20"/>
            <w:bookmarkEnd w:id="375"/>
          </w:p>
        </w:tc>
        <w:tc>
          <w:tcPr>
            <w:tcW w:w="1100" w:type="dxa"/>
            <w:tcBorders/>
            <w:shd w:fill="FFFFFF" w:val="clear"/>
            <w:vAlign w:val="center"/>
          </w:tcPr>
          <w:p>
            <w:pPr>
              <w:pStyle w:val="TableContents"/>
              <w:bidi w:val="0"/>
              <w:spacing w:before="0" w:after="283"/>
              <w:jc w:val="right"/>
              <w:rPr/>
            </w:pPr>
            <w:r>
              <w:rPr/>
              <w:t>437,027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6" w:name="xdx_98E_eus-gaap--CryptoAssetFairValue_i"/>
            <w:bookmarkEnd w:id="376"/>
          </w:p>
        </w:tc>
        <w:tc>
          <w:tcPr>
            <w:tcW w:w="1100" w:type="dxa"/>
            <w:tcBorders/>
            <w:shd w:fill="FFFFFF" w:val="clear"/>
            <w:vAlign w:val="center"/>
          </w:tcPr>
          <w:p>
            <w:pPr>
              <w:pStyle w:val="TableContents"/>
              <w:bidi w:val="0"/>
              <w:spacing w:before="0" w:after="283"/>
              <w:jc w:val="right"/>
              <w:rPr/>
            </w:pPr>
            <w:r>
              <w:rPr/>
              <w:t>282,481</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Ethereum (ETH)</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377" w:name="xdx_98C_eus-gaap--CryptoAssetNumberOfUni"/>
            <w:bookmarkEnd w:id="377"/>
          </w:p>
        </w:tc>
        <w:tc>
          <w:tcPr>
            <w:tcW w:w="1036" w:type="dxa"/>
            <w:tcBorders/>
            <w:shd w:fill="CCEEFF" w:val="clear"/>
            <w:vAlign w:val="center"/>
          </w:tcPr>
          <w:p>
            <w:pPr>
              <w:pStyle w:val="TableContents"/>
              <w:bidi w:val="0"/>
              <w:spacing w:before="0" w:after="283"/>
              <w:jc w:val="right"/>
              <w:rPr/>
            </w:pPr>
            <w:r>
              <w:rPr/>
              <w:t>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8" w:name="xdx_989_eus-gaap--CryptoAssetCost_iI_c20"/>
            <w:bookmarkEnd w:id="378"/>
          </w:p>
        </w:tc>
        <w:tc>
          <w:tcPr>
            <w:tcW w:w="1100" w:type="dxa"/>
            <w:tcBorders/>
            <w:shd w:fill="CCEEFF" w:val="clear"/>
            <w:vAlign w:val="center"/>
          </w:tcPr>
          <w:p>
            <w:pPr>
              <w:pStyle w:val="TableContents"/>
              <w:bidi w:val="0"/>
              <w:spacing w:before="0" w:after="283"/>
              <w:jc w:val="right"/>
              <w:rPr/>
            </w:pPr>
            <w:r>
              <w:rPr/>
              <w:t>2,569,277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9" w:name="xdx_988_eus-gaap--CryptoAssetFairValue_i"/>
            <w:bookmarkEnd w:id="379"/>
          </w:p>
        </w:tc>
        <w:tc>
          <w:tcPr>
            <w:tcW w:w="1100" w:type="dxa"/>
            <w:tcBorders/>
            <w:shd w:fill="CCEEFF" w:val="clear"/>
            <w:vAlign w:val="center"/>
          </w:tcPr>
          <w:p>
            <w:pPr>
              <w:pStyle w:val="TableContents"/>
              <w:bidi w:val="0"/>
              <w:spacing w:before="0" w:after="283"/>
              <w:jc w:val="right"/>
              <w:rPr/>
            </w:pPr>
            <w:r>
              <w:rPr/>
              <w:t>2,033,436</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ChainLink (LINK)</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380" w:name="xdx_98E_eus-gaap--CryptoAssetNumberOfUni"/>
            <w:bookmarkEnd w:id="380"/>
          </w:p>
        </w:tc>
        <w:tc>
          <w:tcPr>
            <w:tcW w:w="1036" w:type="dxa"/>
            <w:tcBorders/>
            <w:shd w:fill="FFFFFF" w:val="clear"/>
            <w:vAlign w:val="center"/>
          </w:tcPr>
          <w:p>
            <w:pPr>
              <w:pStyle w:val="TableContents"/>
              <w:bidi w:val="0"/>
              <w:spacing w:before="0" w:after="283"/>
              <w:jc w:val="right"/>
              <w:rPr/>
            </w:pPr>
            <w:r>
              <w:rPr/>
              <w:t>21,560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1" w:name="xdx_983_eus-gaap--CryptoAssetCost_iI_c20"/>
            <w:bookmarkEnd w:id="381"/>
          </w:p>
        </w:tc>
        <w:tc>
          <w:tcPr>
            <w:tcW w:w="1100" w:type="dxa"/>
            <w:tcBorders/>
            <w:shd w:fill="FFFFFF" w:val="clear"/>
            <w:vAlign w:val="center"/>
          </w:tcPr>
          <w:p>
            <w:pPr>
              <w:pStyle w:val="TableContents"/>
              <w:bidi w:val="0"/>
              <w:spacing w:before="0" w:after="283"/>
              <w:jc w:val="right"/>
              <w:rPr/>
            </w:pPr>
            <w:r>
              <w:rPr/>
              <w:t>374,768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2" w:name="xdx_983_eus-gaap--CryptoAssetFairValue_i"/>
            <w:bookmarkEnd w:id="382"/>
          </w:p>
        </w:tc>
        <w:tc>
          <w:tcPr>
            <w:tcW w:w="1100" w:type="dxa"/>
            <w:tcBorders/>
            <w:shd w:fill="FFFFFF" w:val="clear"/>
            <w:vAlign w:val="center"/>
          </w:tcPr>
          <w:p>
            <w:pPr>
              <w:pStyle w:val="TableContents"/>
              <w:bidi w:val="0"/>
              <w:spacing w:before="0" w:after="283"/>
              <w:jc w:val="right"/>
              <w:rPr/>
            </w:pPr>
            <w:r>
              <w:rPr/>
              <w:t>267,559</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Solana (SOL)</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383" w:name="xdx_987_eus-gaap--CryptoAssetNumberOfUni"/>
            <w:bookmarkEnd w:id="383"/>
          </w:p>
        </w:tc>
        <w:tc>
          <w:tcPr>
            <w:tcW w:w="1036" w:type="dxa"/>
            <w:tcBorders/>
            <w:shd w:fill="CCEEFF" w:val="clear"/>
            <w:vAlign w:val="center"/>
          </w:tcPr>
          <w:p>
            <w:pPr>
              <w:pStyle w:val="TableContents"/>
              <w:bidi w:val="0"/>
              <w:spacing w:before="0" w:after="283"/>
              <w:jc w:val="right"/>
              <w:rPr/>
            </w:pPr>
            <w:r>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4" w:name="xdx_981_eus-gaap--CryptoAssetCost_iI_c20"/>
            <w:bookmarkEnd w:id="384"/>
          </w:p>
        </w:tc>
        <w:tc>
          <w:tcPr>
            <w:tcW w:w="1100" w:type="dxa"/>
            <w:tcBorders/>
            <w:shd w:fill="CCEEFF" w:val="clear"/>
            <w:vAlign w:val="center"/>
          </w:tcPr>
          <w:p>
            <w:pPr>
              <w:pStyle w:val="TableContents"/>
              <w:bidi w:val="0"/>
              <w:spacing w:before="0" w:after="283"/>
              <w:jc w:val="right"/>
              <w:rPr/>
            </w:pPr>
            <w:r>
              <w:rPr/>
              <w:t>1,322,550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5" w:name="xdx_987_eus-gaap--CryptoAssetFairValue_i"/>
            <w:bookmarkEnd w:id="385"/>
          </w:p>
        </w:tc>
        <w:tc>
          <w:tcPr>
            <w:tcW w:w="1100" w:type="dxa"/>
            <w:tcBorders/>
            <w:shd w:fill="CCEEFF" w:val="clear"/>
            <w:vAlign w:val="center"/>
          </w:tcPr>
          <w:p>
            <w:pPr>
              <w:pStyle w:val="TableContents"/>
              <w:bidi w:val="0"/>
              <w:spacing w:before="0" w:after="283"/>
              <w:jc w:val="right"/>
              <w:rPr/>
            </w:pPr>
            <w:r>
              <w:rPr/>
              <w:t>924,029</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Tron (TRX)</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386" w:name="xdx_98C_eus-gaap--CryptoAssetNumberOfUni"/>
            <w:bookmarkEnd w:id="386"/>
          </w:p>
        </w:tc>
        <w:tc>
          <w:tcPr>
            <w:tcW w:w="1036" w:type="dxa"/>
            <w:tcBorders/>
            <w:shd w:fill="FFFFFF" w:val="clear"/>
            <w:vAlign w:val="center"/>
          </w:tcPr>
          <w:p>
            <w:pPr>
              <w:pStyle w:val="TableContents"/>
              <w:bidi w:val="0"/>
              <w:spacing w:before="0" w:after="283"/>
              <w:jc w:val="right"/>
              <w:rPr/>
            </w:pPr>
            <w:r>
              <w:rPr/>
              <w:t>590,372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7" w:name="xdx_98D_eus-gaap--CryptoAssetCost_iI_c20"/>
            <w:bookmarkEnd w:id="387"/>
          </w:p>
        </w:tc>
        <w:tc>
          <w:tcPr>
            <w:tcW w:w="1100" w:type="dxa"/>
            <w:tcBorders/>
            <w:shd w:fill="FFFFFF" w:val="clear"/>
            <w:vAlign w:val="center"/>
          </w:tcPr>
          <w:p>
            <w:pPr>
              <w:pStyle w:val="TableContents"/>
              <w:bidi w:val="0"/>
              <w:spacing w:before="0" w:after="283"/>
              <w:jc w:val="right"/>
              <w:rPr/>
            </w:pPr>
            <w:r>
              <w:rPr/>
              <w:t>181,725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8" w:name="xdx_985_eus-gaap--CryptoAssetFairValue_i"/>
            <w:bookmarkEnd w:id="388"/>
          </w:p>
        </w:tc>
        <w:tc>
          <w:tcPr>
            <w:tcW w:w="1100" w:type="dxa"/>
            <w:tcBorders/>
            <w:shd w:fill="FFFFFF" w:val="clear"/>
            <w:vAlign w:val="center"/>
          </w:tcPr>
          <w:p>
            <w:pPr>
              <w:pStyle w:val="TableContents"/>
              <w:bidi w:val="0"/>
              <w:spacing w:before="0" w:after="283"/>
              <w:jc w:val="right"/>
              <w:rPr/>
            </w:pPr>
            <w:r>
              <w:rPr/>
              <w:t>168,846</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USD Tether (USDT)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389" w:name="xdx_984_eus-gaap--CryptoAssetNumberOfUni"/>
            <w:bookmarkEnd w:id="389"/>
          </w:p>
        </w:tc>
        <w:tc>
          <w:tcPr>
            <w:tcW w:w="1036" w:type="dxa"/>
            <w:tcBorders/>
            <w:shd w:fill="CCEEFF" w:val="clear"/>
            <w:vAlign w:val="center"/>
          </w:tcPr>
          <w:p>
            <w:pPr>
              <w:pStyle w:val="TableContents"/>
              <w:bidi w:val="0"/>
              <w:spacing w:before="0" w:after="283"/>
              <w:jc w:val="right"/>
              <w:rPr/>
            </w:pPr>
            <w:r>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90" w:name="xdx_980_eus-gaap--CryptoAssetCost_iI_c20"/>
            <w:bookmarkEnd w:id="390"/>
          </w:p>
        </w:tc>
        <w:tc>
          <w:tcPr>
            <w:tcW w:w="1100" w:type="dxa"/>
            <w:tcBorders/>
            <w:shd w:fill="CCEEFF" w:val="clear"/>
            <w:vAlign w:val="center"/>
          </w:tcPr>
          <w:p>
            <w:pPr>
              <w:pStyle w:val="TableContents"/>
              <w:bidi w:val="0"/>
              <w:spacing w:before="0" w:after="283"/>
              <w:jc w:val="right"/>
              <w:rPr/>
            </w:pPr>
            <w:r>
              <w:rPr/>
              <w:t>1,854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91" w:name="xdx_984_eus-gaap--CryptoAssetFairValue_i"/>
            <w:bookmarkEnd w:id="391"/>
          </w:p>
        </w:tc>
        <w:tc>
          <w:tcPr>
            <w:tcW w:w="1100" w:type="dxa"/>
            <w:tcBorders/>
            <w:shd w:fill="CCEEFF" w:val="clear"/>
            <w:vAlign w:val="center"/>
          </w:tcPr>
          <w:p>
            <w:pPr>
              <w:pStyle w:val="TableContents"/>
              <w:bidi w:val="0"/>
              <w:spacing w:before="0" w:after="283"/>
              <w:jc w:val="right"/>
              <w:rPr/>
            </w:pPr>
            <w:r>
              <w:rPr/>
              <w:t>1,801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Ripple (XRP)</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92" w:name="xdx_98D_eus-gaap--CryptoAssetNumberOfUni"/>
            <w:bookmarkEnd w:id="392"/>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374,454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93" w:name="xdx_984_eus-gaap--CryptoAssetCost_iI_c20"/>
            <w:bookmarkEnd w:id="393"/>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895,922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94" w:name="xdx_98D_eus-gaap--CryptoAssetFairValue_i"/>
            <w:bookmarkEnd w:id="39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702,476</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95" w:name="xdx_986_eus-gaap--CryptoAssetCost_iI_c20"/>
            <w:bookmarkEnd w:id="39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12,939,428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96" w:name="xdx_98F_eus-gaap--CryptoAssetFairValue_i"/>
            <w:bookmarkEnd w:id="39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10,250,497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7" w:name="xdx_8A7_zlZVAMOWebGc"/>
      <w:bookmarkEnd w:id="39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8" w:name="xdx_89A_eus-gaap--CryptoAssetActivityTab"/>
      <w:bookmarkEnd w:id="398"/>
      <w:r>
        <w:rPr>
          <w:rFonts w:ascii="Times New Roman;Times;Serif" w:hAnsi="Times New Roman;Times;Serif"/>
          <w:b w:val="false"/>
          <w:i w:val="false"/>
          <w:caps w:val="false"/>
          <w:smallCaps w:val="false"/>
          <w:sz w:val="20"/>
        </w:rPr>
        <w:t>The following table summarizes digital asset activity for the period indicated, including cost basis, fair value at the time of sale, realized and unrealized losses, and the fair value of outstanding digital assets as of December 31, 2025:</w:t>
      </w:r>
    </w:p>
    <w:p>
      <w:pPr>
        <w:pStyle w:val="TextBody"/>
        <w:bidi w:val="0"/>
        <w:spacing w:before="0" w:after="0"/>
        <w:ind w:left="0" w:right="0" w:hanging="0"/>
        <w:jc w:val="left"/>
        <w:rPr>
          <w:caps w:val="false"/>
          <w:smallCaps w:val="false"/>
        </w:rPr>
      </w:pPr>
      <w:r>
        <w:rPr>
          <w:caps w:val="false"/>
          <w:smallCaps w:val="false"/>
        </w:rPr>
        <w:t> </w:t>
      </w:r>
      <w:bookmarkStart w:id="399" w:name="xdx_8B7_zLj1A1DW0Axl"/>
      <w:bookmarkEnd w:id="399"/>
      <w:r>
        <w:rPr>
          <w:rFonts w:ascii="Times New Roman;Times;Serif" w:hAnsi="Times New Roman;Times;Serif"/>
          <w:b w:val="false"/>
          <w:i w:val="false"/>
          <w:caps w:val="false"/>
          <w:smallCaps w:val="false"/>
          <w:sz w:val="20"/>
        </w:rPr>
        <w:t>SCHEDULE OF DIGITAL ASSET ACTIVITY  </w:t>
      </w:r>
    </w:p>
    <w:tbl>
      <w:tblPr>
        <w:tblW w:w="4370" w:type="dxa"/>
        <w:jc w:val="left"/>
        <w:tblInd w:w="0" w:type="dxa"/>
        <w:tblLayout w:type="fixed"/>
        <w:tblCellMar>
          <w:top w:w="0" w:type="dxa"/>
          <w:left w:w="0" w:type="dxa"/>
          <w:bottom w:w="0" w:type="dxa"/>
          <w:right w:w="0" w:type="dxa"/>
        </w:tblCellMar>
      </w:tblPr>
      <w:tblGrid>
        <w:gridCol w:w="2960"/>
        <w:gridCol w:w="60"/>
        <w:gridCol w:w="140"/>
        <w:gridCol w:w="1100"/>
        <w:gridCol w:w="110"/>
      </w:tblGrid>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0" w:name="xdx_49C_20250101__20251231_zziGwonl6mi5"/>
            <w:bookmarkEnd w:id="400"/>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1" w:name="xdx_403_eus-gaap--CryptoAssetFairValue_i"/>
            <w:bookmarkEnd w:id="401"/>
          </w:p>
        </w:tc>
      </w:tr>
      <w:tr>
        <w:trPr/>
        <w:tc>
          <w:tcPr>
            <w:tcW w:w="296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bookmarkStart w:id="402" w:name="xdx_40D_eus-gaap--CryptoAssetPurchase_zU"/>
            <w:bookmarkEnd w:id="402"/>
          </w:p>
        </w:tc>
      </w:tr>
      <w:tr>
        <w:trPr/>
        <w:tc>
          <w:tcPr>
            <w:tcW w:w="2960" w:type="dxa"/>
            <w:tcBorders/>
            <w:shd w:fill="FFFFFF" w:val="clear"/>
            <w:vAlign w:val="center"/>
          </w:tcPr>
          <w:p>
            <w:pPr>
              <w:pStyle w:val="TableContents"/>
              <w:bidi w:val="0"/>
              <w:spacing w:before="0" w:after="283"/>
              <w:jc w:val="left"/>
              <w:rPr/>
            </w:pPr>
            <w:r>
              <w:rPr/>
              <w:t>Additions</w:t>
            </w:r>
            <w:bookmarkStart w:id="403" w:name="xdx_F41_zzn2fsiW4Dr2"/>
            <w:bookmarkEnd w:id="403"/>
            <w:r>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100" w:type="dxa"/>
            <w:tcBorders/>
            <w:shd w:fill="FFFFFF" w:val="clear"/>
            <w:vAlign w:val="center"/>
          </w:tcPr>
          <w:p>
            <w:pPr>
              <w:pStyle w:val="TableContents"/>
              <w:bidi w:val="0"/>
              <w:spacing w:before="0" w:after="283"/>
              <w:jc w:val="right"/>
              <w:rPr/>
            </w:pPr>
            <w:r>
              <w:rPr/>
              <w:t>16,500,000</w:t>
            </w:r>
          </w:p>
        </w:tc>
        <w:tc>
          <w:tcPr>
            <w:tcW w:w="110" w:type="dxa"/>
            <w:tcBorders/>
            <w:shd w:fill="FFFFFF" w:val="clear"/>
            <w:vAlign w:val="center"/>
          </w:tcPr>
          <w:p>
            <w:pPr>
              <w:pStyle w:val="TableContents"/>
              <w:bidi w:val="0"/>
              <w:spacing w:before="0" w:after="283"/>
              <w:jc w:val="left"/>
              <w:rPr/>
            </w:pPr>
            <w:r>
              <w:rPr/>
              <w:t> </w:t>
            </w:r>
            <w:bookmarkStart w:id="404" w:name="xdx_405_eus-gaap--CryptoAssetSale_iN_di_"/>
            <w:bookmarkEnd w:id="404"/>
          </w:p>
        </w:tc>
      </w:tr>
      <w:tr>
        <w:trPr/>
        <w:tc>
          <w:tcPr>
            <w:tcW w:w="2960" w:type="dxa"/>
            <w:tcBorders/>
            <w:shd w:fill="CCEEFF" w:val="clear"/>
            <w:vAlign w:val="center"/>
          </w:tcPr>
          <w:p>
            <w:pPr>
              <w:pStyle w:val="TableContents"/>
              <w:bidi w:val="0"/>
              <w:spacing w:before="0" w:after="283"/>
              <w:jc w:val="left"/>
              <w:rPr/>
            </w:pPr>
            <w:r>
              <w:rPr/>
              <w:t xml:space="preserve">Dispositions </w:t>
            </w:r>
            <w:bookmarkStart w:id="405" w:name="xdx_F46_zh9WMusRd028"/>
            <w:bookmarkEnd w:id="405"/>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(2,621,429</w:t>
            </w:r>
          </w:p>
        </w:tc>
        <w:tc>
          <w:tcPr>
            <w:tcW w:w="110" w:type="dxa"/>
            <w:tcBorders/>
            <w:shd w:fill="CCEEFF" w:val="clear"/>
            <w:vAlign w:val="center"/>
          </w:tcPr>
          <w:p>
            <w:pPr>
              <w:pStyle w:val="TableContents"/>
              <w:bidi w:val="0"/>
              <w:spacing w:before="0" w:after="283"/>
              <w:jc w:val="left"/>
              <w:rPr/>
            </w:pPr>
            <w:r>
              <w:rPr/>
              <w:t>)</w:t>
            </w:r>
            <w:bookmarkStart w:id="406" w:name="xdx_404_ecustom--ChangeInFairValueDigita"/>
            <w:bookmarkEnd w:id="406"/>
          </w:p>
        </w:tc>
      </w:tr>
      <w:tr>
        <w:trPr/>
        <w:tc>
          <w:tcPr>
            <w:tcW w:w="2960" w:type="dxa"/>
            <w:tcBorders/>
            <w:shd w:fill="FFFFFF" w:val="clear"/>
            <w:vAlign w:val="center"/>
          </w:tcPr>
          <w:p>
            <w:pPr>
              <w:pStyle w:val="TableContents"/>
              <w:bidi w:val="0"/>
              <w:spacing w:before="0" w:after="283"/>
              <w:jc w:val="left"/>
              <w:rPr/>
            </w:pPr>
            <w:r>
              <w:rPr/>
              <w:t>Gains</w:t>
            </w:r>
            <w:bookmarkStart w:id="407" w:name="xdx_F4C_zL78NCGLTIM5"/>
            <w:bookmarkEnd w:id="407"/>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13,117</w:t>
            </w:r>
          </w:p>
        </w:tc>
        <w:tc>
          <w:tcPr>
            <w:tcW w:w="110" w:type="dxa"/>
            <w:tcBorders/>
            <w:shd w:fill="FFFFFF" w:val="clear"/>
            <w:vAlign w:val="center"/>
          </w:tcPr>
          <w:p>
            <w:pPr>
              <w:pStyle w:val="TableContents"/>
              <w:bidi w:val="0"/>
              <w:spacing w:before="0" w:after="283"/>
              <w:jc w:val="left"/>
              <w:rPr>
                <w:sz w:val="4"/>
                <w:szCs w:val="4"/>
              </w:rPr>
            </w:pPr>
            <w:r>
              <w:rPr>
                <w:sz w:val="4"/>
                <w:szCs w:val="4"/>
              </w:rPr>
            </w:r>
            <w:bookmarkStart w:id="408" w:name="xdx_40F_ecustom--LossOnSalesDigitalAsset"/>
            <w:bookmarkStart w:id="409" w:name="xdx_40F_ecustom--LossOnSalesDigitalAsset"/>
            <w:bookmarkEnd w:id="409"/>
          </w:p>
        </w:tc>
      </w:tr>
      <w:tr>
        <w:trPr/>
        <w:tc>
          <w:tcPr>
            <w:tcW w:w="2960" w:type="dxa"/>
            <w:tcBorders/>
            <w:shd w:fill="CCEEFF" w:val="clear"/>
            <w:vAlign w:val="center"/>
          </w:tcPr>
          <w:p>
            <w:pPr>
              <w:pStyle w:val="TableContents"/>
              <w:bidi w:val="0"/>
              <w:spacing w:before="0" w:after="283"/>
              <w:jc w:val="left"/>
              <w:rPr/>
            </w:pPr>
            <w:r>
              <w:rPr/>
              <w:t>Losses</w:t>
            </w:r>
            <w:bookmarkStart w:id="410" w:name="xdx_F40_znhjiBducIj1"/>
            <w:bookmarkEnd w:id="410"/>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(3,601,223</w:t>
            </w:r>
          </w:p>
        </w:tc>
        <w:tc>
          <w:tcPr>
            <w:tcW w:w="110" w:type="dxa"/>
            <w:tcBorders/>
            <w:shd w:fill="CCEEFF" w:val="clear"/>
            <w:vAlign w:val="center"/>
          </w:tcPr>
          <w:p>
            <w:pPr>
              <w:pStyle w:val="TableContents"/>
              <w:bidi w:val="0"/>
              <w:spacing w:before="0" w:after="283"/>
              <w:jc w:val="left"/>
              <w:rPr/>
            </w:pPr>
            <w:r>
              <w:rPr/>
              <w:t>)</w:t>
            </w:r>
            <w:bookmarkStart w:id="411" w:name="xdx_401_eus-gaap--CryptoAssetPaymentForS"/>
            <w:bookmarkEnd w:id="411"/>
          </w:p>
        </w:tc>
      </w:tr>
      <w:tr>
        <w:trPr/>
        <w:tc>
          <w:tcPr>
            <w:tcW w:w="2960" w:type="dxa"/>
            <w:tcBorders/>
            <w:shd w:fill="FFFFFF" w:val="clear"/>
            <w:vAlign w:val="center"/>
          </w:tcPr>
          <w:p>
            <w:pPr>
              <w:pStyle w:val="TableContents"/>
              <w:bidi w:val="0"/>
              <w:spacing w:before="0" w:after="283"/>
              <w:jc w:val="left"/>
              <w:rPr/>
            </w:pPr>
            <w:r>
              <w:rPr/>
              <w:t>Payments made but uncleared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(39,968</w:t>
            </w:r>
          </w:p>
        </w:tc>
        <w:tc>
          <w:tcPr>
            <w:tcW w:w="110" w:type="dxa"/>
            <w:tcBorders/>
            <w:shd w:fill="FFFFFF" w:val="clear"/>
            <w:vAlign w:val="center"/>
          </w:tcPr>
          <w:p>
            <w:pPr>
              <w:pStyle w:val="TableContents"/>
              <w:bidi w:val="0"/>
              <w:spacing w:before="0" w:after="283"/>
              <w:jc w:val="left"/>
              <w:rPr/>
            </w:pPr>
            <w:r>
              <w:rPr/>
              <w:t>)</w:t>
            </w:r>
            <w:bookmarkStart w:id="412" w:name="xdx_40A_eus-gaap--CryptoAssetFairValue_i"/>
            <w:bookmarkEnd w:id="412"/>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10,250,497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3" w:name="xdx_F0F_z2ONiT8mVSke"/>
            <w:bookmarkEnd w:id="413"/>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4" w:name="xdx_F17_zGAc1oHvsMv3"/>
            <w:bookmarkEnd w:id="414"/>
            <w:r>
              <w:rPr>
                <w:rFonts w:ascii="Times New Roman;Times;Serif" w:hAnsi="Times New Roman;Times;Serif"/>
                <w:b w:val="false"/>
                <w:i w:val="false"/>
                <w:caps w:val="false"/>
                <w:smallCaps w:val="false"/>
                <w:sz w:val="20"/>
              </w:rPr>
              <w:t>Additions represent purchases of crypto assets held for investment, dispositions represent liquidation of crypto asstes held for investment</w:t>
            </w:r>
          </w:p>
        </w:tc>
      </w:tr>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5" w:name="xdx_F09_zlKipJhsGQfd"/>
            <w:bookmarkEnd w:id="415"/>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6" w:name="xdx_F1E_zlmnnjSmUHec"/>
            <w:bookmarkEnd w:id="416"/>
            <w:r>
              <w:rPr>
                <w:rFonts w:ascii="Times New Roman;Times;Serif" w:hAnsi="Times New Roman;Times;Serif"/>
                <w:b w:val="false"/>
                <w:i w:val="false"/>
                <w:caps w:val="false"/>
                <w:smallCaps w:val="false"/>
                <w:sz w:val="20"/>
              </w:rPr>
              <w:t>The Company measures gains and losses by each asset held. These amounts include cumulative realized gains of $</w:t>
            </w:r>
            <w:bookmarkStart w:id="417" w:name="xdx_90C_ecustom--RealizedGainOnDigitalAs"/>
            <w:bookmarkEnd w:id="417"/>
            <w:r>
              <w:rPr>
                <w:rFonts w:ascii="Times New Roman;Times;Serif" w:hAnsi="Times New Roman;Times;Serif"/>
                <w:b w:val="false"/>
                <w:i w:val="false"/>
                <w:caps w:val="false"/>
                <w:smallCaps w:val="false"/>
                <w:sz w:val="20"/>
              </w:rPr>
              <w:t>13,117, realized losses of $</w:t>
            </w:r>
            <w:bookmarkStart w:id="418" w:name="xdx_90C_ecustom--RealizedLossOnDigitalAs"/>
            <w:bookmarkEnd w:id="418"/>
            <w:r>
              <w:rPr>
                <w:rFonts w:ascii="Times New Roman;Times;Serif" w:hAnsi="Times New Roman;Times;Serif"/>
                <w:b w:val="false"/>
                <w:i w:val="false"/>
                <w:caps w:val="false"/>
                <w:smallCaps w:val="false"/>
                <w:sz w:val="20"/>
              </w:rPr>
              <w:t>896,471, and unrealized losses of $</w:t>
            </w:r>
            <w:bookmarkStart w:id="419" w:name="xdx_90E_ecustom--UnrealizedLossOnDigital"/>
            <w:bookmarkEnd w:id="419"/>
            <w:r>
              <w:rPr>
                <w:rFonts w:ascii="Times New Roman;Times;Serif" w:hAnsi="Times New Roman;Times;Serif"/>
                <w:b w:val="false"/>
                <w:i w:val="false"/>
                <w:caps w:val="false"/>
                <w:smallCaps w:val="false"/>
                <w:sz w:val="20"/>
              </w:rPr>
              <w:t>2,704,752 during the year ended December 31, 2025</w:t>
            </w:r>
          </w:p>
        </w:tc>
      </w:tr>
    </w:tbl>
    <w:p>
      <w:pPr>
        <w:pStyle w:val="TextBody"/>
        <w:bidi w:val="0"/>
        <w:spacing w:before="0" w:after="0"/>
        <w:ind w:left="0" w:right="0" w:hanging="0"/>
        <w:jc w:val="both"/>
        <w:rPr>
          <w:caps w:val="false"/>
          <w:smallCaps w:val="false"/>
        </w:rPr>
      </w:pPr>
      <w:bookmarkStart w:id="420" w:name="xdx_8A4_zrC5MPxg6D56"/>
      <w:bookmarkEnd w:id="42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digital assets at fair value in accordance with </w:t>
      </w:r>
      <w:r>
        <w:rPr>
          <w:rFonts w:ascii="Times New Roman;Times;Serif" w:hAnsi="Times New Roman;Times;Serif"/>
          <w:b/>
          <w:i w:val="false"/>
          <w:caps w:val="false"/>
          <w:smallCaps w:val="false"/>
          <w:sz w:val="20"/>
        </w:rPr>
        <w:t>ASC 820, Fair Value Measurement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determined using quoted prices in active markets for identical assets (Level 1 inputs). The Company utilizes pricing information provided by the principal market, which is based on observable market prices from active trading exchanges.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1" w:name="xdx_807_eus-gaap--FairValueDisclosuresTe"/>
      <w:bookmarkEnd w:id="421"/>
      <w:r>
        <w:rPr>
          <w:rFonts w:ascii="Times New Roman;Times;Serif" w:hAnsi="Times New Roman;Times;Serif"/>
          <w:b/>
          <w:i w:val="false"/>
          <w:caps w:val="false"/>
          <w:smallCaps w:val="false"/>
          <w:sz w:val="20"/>
        </w:rPr>
        <w:t xml:space="preserve">NOTE 4 — </w:t>
      </w:r>
      <w:bookmarkStart w:id="422" w:name="xdx_828_z8iVQcSh89P8"/>
      <w:bookmarkEnd w:id="422"/>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3" w:name="xdx_89C_eus-gaap--ScheduleOfFairValueAss"/>
      <w:bookmarkEnd w:id="423"/>
      <w:r>
        <w:rPr>
          <w:rFonts w:ascii="Times New Roman;Times;Serif" w:hAnsi="Times New Roman;Times;Serif"/>
          <w:b w:val="false"/>
          <w:i w:val="false"/>
          <w:caps w:val="false"/>
          <w:smallCaps w:val="false"/>
          <w:sz w:val="20"/>
        </w:rPr>
        <w:t>Below is the summary of our assets and liabilities measured at fair value on a recurring basis and categorized using the fair value hierarchy as of December 31, 2025:</w:t>
      </w:r>
    </w:p>
    <w:p>
      <w:pPr>
        <w:pStyle w:val="TextBody"/>
        <w:bidi w:val="0"/>
        <w:spacing w:before="0" w:after="0"/>
        <w:ind w:left="0" w:right="0" w:hanging="0"/>
        <w:jc w:val="both"/>
        <w:rPr>
          <w:caps w:val="false"/>
          <w:smallCaps w:val="false"/>
        </w:rPr>
      </w:pPr>
      <w:r>
        <w:rPr>
          <w:caps w:val="false"/>
          <w:smallCaps w:val="false"/>
        </w:rPr>
        <w:t> </w:t>
      </w:r>
      <w:bookmarkStart w:id="424" w:name="xdx_8BE_zG2IgCRrmusf"/>
      <w:bookmarkEnd w:id="424"/>
      <w:r>
        <w:rPr>
          <w:rFonts w:ascii="Times New Roman;Times;Serif" w:hAnsi="Times New Roman;Times;Serif"/>
          <w:b w:val="false"/>
          <w:i w:val="false"/>
          <w:caps w:val="false"/>
          <w:smallCaps w:val="false"/>
          <w:sz w:val="20"/>
        </w:rPr>
        <w:t>SCHEDULE OF FAIR VALUE MEASUREMENTS </w:t>
      </w:r>
    </w:p>
    <w:tbl>
      <w:tblPr>
        <w:tblW w:w="6849" w:type="dxa"/>
        <w:jc w:val="left"/>
        <w:tblInd w:w="0" w:type="dxa"/>
        <w:tblLayout w:type="fixed"/>
        <w:tblCellMar>
          <w:top w:w="0" w:type="dxa"/>
          <w:left w:w="0" w:type="dxa"/>
          <w:bottom w:w="0" w:type="dxa"/>
          <w:right w:w="0" w:type="dxa"/>
        </w:tblCellMar>
      </w:tblPr>
      <w:tblGrid>
        <w:gridCol w:w="2030"/>
        <w:gridCol w:w="60"/>
        <w:gridCol w:w="140"/>
        <w:gridCol w:w="1100"/>
        <w:gridCol w:w="60"/>
        <w:gridCol w:w="60"/>
        <w:gridCol w:w="538"/>
        <w:gridCol w:w="366"/>
        <w:gridCol w:w="60"/>
        <w:gridCol w:w="60"/>
        <w:gridCol w:w="140"/>
        <w:gridCol w:w="800"/>
        <w:gridCol w:w="60"/>
        <w:gridCol w:w="60"/>
        <w:gridCol w:w="140"/>
        <w:gridCol w:w="1100"/>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9F_20251231__us-gaap--FairValueByFa"/>
            <w:bookmarkEnd w:id="42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0_20251231__us-gaap--FairValueByFa"/>
            <w:bookmarkEnd w:id="426"/>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497_20251231__us-gaap--FairValueByFa"/>
            <w:bookmarkEnd w:id="427"/>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49D_20251231_zQ8Gg9KjJHo1"/>
            <w:bookmarkEnd w:id="42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429" w:name="xdx_407_eus-gaap--AssetsFairValueDisclos"/>
            <w:bookmarkEnd w:id="429"/>
          </w:p>
        </w:tc>
      </w:tr>
      <w:tr>
        <w:trPr/>
        <w:tc>
          <w:tcPr>
            <w:tcW w:w="203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30" w:name="xdx_408_ecustom--MoneyMarketFundsFairVal"/>
            <w:bookmarkEnd w:id="430"/>
          </w:p>
        </w:tc>
      </w:tr>
      <w:tr>
        <w:trPr/>
        <w:tc>
          <w:tcPr>
            <w:tcW w:w="2030"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15,957,179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w:t>
            </w:r>
          </w:p>
        </w:tc>
        <w:tc>
          <w:tcPr>
            <w:tcW w:w="3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15,957,179</w:t>
            </w:r>
          </w:p>
        </w:tc>
        <w:tc>
          <w:tcPr>
            <w:tcW w:w="75" w:type="dxa"/>
            <w:tcBorders/>
            <w:shd w:fill="FFFFFF" w:val="clear"/>
            <w:vAlign w:val="center"/>
          </w:tcPr>
          <w:p>
            <w:pPr>
              <w:pStyle w:val="TableContents"/>
              <w:bidi w:val="0"/>
              <w:spacing w:before="0" w:after="283"/>
              <w:jc w:val="left"/>
              <w:rPr/>
            </w:pPr>
            <w:r>
              <w:rPr/>
              <w:t> </w:t>
            </w:r>
            <w:bookmarkStart w:id="431" w:name="xdx_409_eus-gaap--CryptoAssetFairValue_i"/>
            <w:bookmarkEnd w:id="431"/>
          </w:p>
        </w:tc>
      </w:tr>
      <w:tr>
        <w:trPr/>
        <w:tc>
          <w:tcPr>
            <w:tcW w:w="2030" w:type="dxa"/>
            <w:tcBorders/>
            <w:shd w:fill="CCEEFF" w:val="clear"/>
            <w:vAlign w:val="center"/>
          </w:tcPr>
          <w:p>
            <w:pPr>
              <w:pStyle w:val="TableContents"/>
              <w:bidi w:val="0"/>
              <w:spacing w:before="0" w:after="283"/>
              <w:jc w:val="left"/>
              <w:rPr/>
            </w:pPr>
            <w:r>
              <w:rPr/>
              <w:t>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10,250,497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10,250,497</w:t>
            </w:r>
          </w:p>
        </w:tc>
        <w:tc>
          <w:tcPr>
            <w:tcW w:w="75" w:type="dxa"/>
            <w:tcBorders/>
            <w:shd w:fill="CCEEFF" w:val="clear"/>
            <w:vAlign w:val="center"/>
          </w:tcPr>
          <w:p>
            <w:pPr>
              <w:pStyle w:val="TableContents"/>
              <w:bidi w:val="0"/>
              <w:spacing w:before="0" w:after="283"/>
              <w:jc w:val="left"/>
              <w:rPr/>
            </w:pPr>
            <w:r>
              <w:rPr/>
              <w:t> </w:t>
            </w:r>
            <w:bookmarkStart w:id="432" w:name="xdx_40E_eus-gaap--AssetsFairValueDisclos"/>
            <w:bookmarkEnd w:id="432"/>
          </w:p>
        </w:tc>
      </w:tr>
      <w:tr>
        <w:trPr/>
        <w:tc>
          <w:tcPr>
            <w:tcW w:w="203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26,207,676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26,207,676</w:t>
            </w:r>
          </w:p>
        </w:tc>
        <w:tc>
          <w:tcPr>
            <w:tcW w:w="75" w:type="dxa"/>
            <w:tcBorders/>
            <w:shd w:fill="FFFFFF" w:val="clear"/>
            <w:vAlign w:val="center"/>
          </w:tcPr>
          <w:p>
            <w:pPr>
              <w:pStyle w:val="TableContents"/>
              <w:bidi w:val="0"/>
              <w:spacing w:before="0" w:after="283"/>
              <w:jc w:val="left"/>
              <w:rPr/>
            </w:pPr>
            <w:r>
              <w:rPr/>
              <w:t> </w:t>
            </w:r>
            <w:bookmarkStart w:id="433" w:name="xdx_40E_eus-gaap--LiabilitiesFairValueDi"/>
            <w:bookmarkEnd w:id="433"/>
          </w:p>
        </w:tc>
      </w:tr>
      <w:tr>
        <w:trPr/>
        <w:tc>
          <w:tcPr>
            <w:tcW w:w="203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34" w:name="xdx_401_eus-gaap--ConvertibleDebtFairVal"/>
            <w:bookmarkEnd w:id="434"/>
          </w:p>
        </w:tc>
      </w:tr>
      <w:tr>
        <w:trPr/>
        <w:tc>
          <w:tcPr>
            <w:tcW w:w="2030" w:type="dxa"/>
            <w:tcBorders/>
            <w:shd w:fill="FFFFFF" w:val="clear"/>
            <w:vAlign w:val="center"/>
          </w:tcPr>
          <w:p>
            <w:pPr>
              <w:pStyle w:val="TableContents"/>
              <w:bidi w:val="0"/>
              <w:spacing w:before="0" w:after="283"/>
              <w:jc w:val="left"/>
              <w:rPr/>
            </w:pPr>
            <w:r>
              <w:rPr/>
              <w:t>Convertible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w:t>
            </w:r>
          </w:p>
        </w:tc>
        <w:tc>
          <w:tcPr>
            <w:tcW w:w="3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142,236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142,236</w:t>
            </w:r>
          </w:p>
        </w:tc>
        <w:tc>
          <w:tcPr>
            <w:tcW w:w="75" w:type="dxa"/>
            <w:tcBorders/>
            <w:shd w:fill="FFFFFF" w:val="clear"/>
            <w:vAlign w:val="center"/>
          </w:tcPr>
          <w:p>
            <w:pPr>
              <w:pStyle w:val="TableContents"/>
              <w:bidi w:val="0"/>
              <w:spacing w:before="0" w:after="283"/>
              <w:jc w:val="left"/>
              <w:rPr/>
            </w:pPr>
            <w:r>
              <w:rPr/>
              <w:t> </w:t>
            </w:r>
            <w:bookmarkStart w:id="435" w:name="xdx_405_ecustom--WarrantLiabilitiesFairV"/>
            <w:bookmarkEnd w:id="435"/>
          </w:p>
        </w:tc>
      </w:tr>
      <w:tr>
        <w:trPr/>
        <w:tc>
          <w:tcPr>
            <w:tcW w:w="203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141,878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141,878</w:t>
            </w:r>
          </w:p>
        </w:tc>
        <w:tc>
          <w:tcPr>
            <w:tcW w:w="75" w:type="dxa"/>
            <w:tcBorders/>
            <w:shd w:fill="CCEEFF" w:val="clear"/>
            <w:vAlign w:val="center"/>
          </w:tcPr>
          <w:p>
            <w:pPr>
              <w:pStyle w:val="TableContents"/>
              <w:bidi w:val="0"/>
              <w:spacing w:before="0" w:after="283"/>
              <w:jc w:val="left"/>
              <w:rPr/>
            </w:pPr>
            <w:r>
              <w:rPr/>
              <w:t> </w:t>
            </w:r>
            <w:bookmarkStart w:id="436" w:name="xdx_403_eus-gaap--LiabilitiesFairValueDi"/>
            <w:bookmarkEnd w:id="436"/>
          </w:p>
        </w:tc>
      </w:tr>
      <w:tr>
        <w:trPr/>
        <w:tc>
          <w:tcPr>
            <w:tcW w:w="203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284,114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284,114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summary of our assets and liabilities measured at fair value on a recurring basis and categorized using the fair value hierarchy as of December 31, 2024:</w:t>
      </w:r>
    </w:p>
    <w:p>
      <w:pPr>
        <w:pStyle w:val="TextBody"/>
        <w:bidi w:val="0"/>
        <w:spacing w:before="0" w:after="0"/>
        <w:ind w:left="0" w:right="0" w:hanging="0"/>
        <w:jc w:val="both"/>
        <w:rPr>
          <w:caps w:val="false"/>
          <w:smallCaps w:val="false"/>
        </w:rPr>
      </w:pPr>
      <w:r>
        <w:rPr>
          <w:caps w:val="false"/>
          <w:smallCaps w:val="false"/>
        </w:rPr>
        <w:t> </w:t>
      </w:r>
    </w:p>
    <w:tbl>
      <w:tblPr>
        <w:tblW w:w="6249" w:type="dxa"/>
        <w:jc w:val="left"/>
        <w:tblInd w:w="0" w:type="dxa"/>
        <w:tblLayout w:type="fixed"/>
        <w:tblCellMar>
          <w:top w:w="0" w:type="dxa"/>
          <w:left w:w="0" w:type="dxa"/>
          <w:bottom w:w="0" w:type="dxa"/>
          <w:right w:w="0" w:type="dxa"/>
        </w:tblCellMar>
      </w:tblPr>
      <w:tblGrid>
        <w:gridCol w:w="2030"/>
        <w:gridCol w:w="60"/>
        <w:gridCol w:w="140"/>
        <w:gridCol w:w="800"/>
        <w:gridCol w:w="60"/>
        <w:gridCol w:w="60"/>
        <w:gridCol w:w="538"/>
        <w:gridCol w:w="366"/>
        <w:gridCol w:w="60"/>
        <w:gridCol w:w="60"/>
        <w:gridCol w:w="140"/>
        <w:gridCol w:w="800"/>
        <w:gridCol w:w="60"/>
        <w:gridCol w:w="60"/>
        <w:gridCol w:w="140"/>
        <w:gridCol w:w="800"/>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A_20241231__us-gaap--FairValueByFa"/>
            <w:bookmarkEnd w:id="437"/>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8" w:name="xdx_49A_20241231__us-gaap--FairValueByFa"/>
            <w:bookmarkEnd w:id="438"/>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9" w:name="xdx_498_20241231__us-gaap--FairValueByFa"/>
            <w:bookmarkEnd w:id="439"/>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0" w:name="xdx_497_20241231_zaGfuEyX5wPi"/>
            <w:bookmarkEnd w:id="440"/>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441" w:name="xdx_403_eus-gaap--AssetsFairValueDisclos"/>
            <w:bookmarkEnd w:id="441"/>
          </w:p>
        </w:tc>
      </w:tr>
      <w:tr>
        <w:trPr/>
        <w:tc>
          <w:tcPr>
            <w:tcW w:w="203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42" w:name="xdx_401_ecustom--MoneyMarketFundsFairVal"/>
            <w:bookmarkEnd w:id="442"/>
          </w:p>
        </w:tc>
      </w:tr>
      <w:tr>
        <w:trPr/>
        <w:tc>
          <w:tcPr>
            <w:tcW w:w="2030"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724,732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724,732</w:t>
            </w:r>
          </w:p>
        </w:tc>
        <w:tc>
          <w:tcPr>
            <w:tcW w:w="75" w:type="dxa"/>
            <w:tcBorders/>
            <w:shd w:fill="FFFFFF" w:val="clear"/>
            <w:vAlign w:val="center"/>
          </w:tcPr>
          <w:p>
            <w:pPr>
              <w:pStyle w:val="TableContents"/>
              <w:bidi w:val="0"/>
              <w:spacing w:before="0" w:after="283"/>
              <w:jc w:val="left"/>
              <w:rPr/>
            </w:pPr>
            <w:r>
              <w:rPr/>
              <w:t> </w:t>
            </w:r>
            <w:bookmarkStart w:id="443" w:name="xdx_40B_eus-gaap--AssetsFairValueDisclos"/>
            <w:bookmarkEnd w:id="443"/>
          </w:p>
        </w:tc>
      </w:tr>
      <w:tr>
        <w:trPr/>
        <w:tc>
          <w:tcPr>
            <w:tcW w:w="203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724,732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724,732</w:t>
            </w:r>
          </w:p>
        </w:tc>
        <w:tc>
          <w:tcPr>
            <w:tcW w:w="75" w:type="dxa"/>
            <w:tcBorders/>
            <w:shd w:fill="CCEEFF" w:val="clear"/>
            <w:vAlign w:val="center"/>
          </w:tcPr>
          <w:p>
            <w:pPr>
              <w:pStyle w:val="TableContents"/>
              <w:bidi w:val="0"/>
              <w:spacing w:before="0" w:after="283"/>
              <w:jc w:val="left"/>
              <w:rPr/>
            </w:pPr>
            <w:r>
              <w:rPr/>
              <w:t> </w:t>
            </w:r>
            <w:bookmarkStart w:id="444" w:name="xdx_402_eus-gaap--LiabilitiesFairValueDi"/>
            <w:bookmarkEnd w:id="444"/>
          </w:p>
        </w:tc>
      </w:tr>
      <w:tr>
        <w:trPr/>
        <w:tc>
          <w:tcPr>
            <w:tcW w:w="2030"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45" w:name="xdx_401_ecustom--WarrantLiabilitiesFairV"/>
            <w:bookmarkEnd w:id="445"/>
          </w:p>
        </w:tc>
      </w:tr>
      <w:tr>
        <w:trPr/>
        <w:tc>
          <w:tcPr>
            <w:tcW w:w="203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269,175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269,175</w:t>
            </w:r>
          </w:p>
        </w:tc>
        <w:tc>
          <w:tcPr>
            <w:tcW w:w="75" w:type="dxa"/>
            <w:tcBorders/>
            <w:shd w:fill="CCEEFF" w:val="clear"/>
            <w:vAlign w:val="center"/>
          </w:tcPr>
          <w:p>
            <w:pPr>
              <w:pStyle w:val="TableContents"/>
              <w:bidi w:val="0"/>
              <w:spacing w:before="0" w:after="283"/>
              <w:jc w:val="left"/>
              <w:rPr/>
            </w:pPr>
            <w:r>
              <w:rPr/>
              <w:t> </w:t>
            </w:r>
            <w:bookmarkStart w:id="446" w:name="xdx_409_eus-gaap--LiabilitiesFairValueDi"/>
            <w:bookmarkEnd w:id="446"/>
          </w:p>
        </w:tc>
      </w:tr>
      <w:tr>
        <w:trPr/>
        <w:tc>
          <w:tcPr>
            <w:tcW w:w="203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269,175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269,175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7" w:name="xdx_8A4_zEVdN0Ax0eO1"/>
      <w:bookmarkEnd w:id="44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8" w:name="xdx_800_eus-gaap--OtherAssetsDisclosureT"/>
      <w:bookmarkEnd w:id="448"/>
      <w:r>
        <w:rPr>
          <w:rFonts w:ascii="Times New Roman;Times;Serif" w:hAnsi="Times New Roman;Times;Serif"/>
          <w:b/>
          <w:i w:val="false"/>
          <w:caps w:val="false"/>
          <w:smallCaps w:val="false"/>
          <w:sz w:val="20"/>
        </w:rPr>
        <w:t xml:space="preserve">NOTE 5 — </w:t>
      </w:r>
      <w:bookmarkStart w:id="449" w:name="xdx_825_zk6kN1Yjy2G9"/>
      <w:bookmarkEnd w:id="449"/>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0" w:name="xdx_89C_eus-gaap--DeferredCostsCapitaliz"/>
      <w:bookmarkEnd w:id="450"/>
      <w:r>
        <w:rPr>
          <w:rFonts w:ascii="Times New Roman;Times;Serif" w:hAnsi="Times New Roman;Times;Serif"/>
          <w:b w:val="false"/>
          <w:i w:val="false"/>
          <w:caps w:val="false"/>
          <w:smallCaps w:val="false"/>
          <w:sz w:val="20"/>
        </w:rPr>
        <w:t>Prepaid expenses and other current assets consisted of the following at December 31, 2025 and 2024:</w:t>
      </w:r>
    </w:p>
    <w:p>
      <w:pPr>
        <w:pStyle w:val="TextBody"/>
        <w:bidi w:val="0"/>
        <w:spacing w:before="0" w:after="0"/>
        <w:ind w:left="0" w:right="0" w:hanging="0"/>
        <w:jc w:val="both"/>
        <w:rPr>
          <w:caps w:val="false"/>
          <w:smallCaps w:val="false"/>
        </w:rPr>
      </w:pPr>
      <w:r>
        <w:rPr>
          <w:caps w:val="false"/>
          <w:smallCaps w:val="false"/>
        </w:rPr>
        <w:t> </w:t>
      </w:r>
      <w:bookmarkStart w:id="451" w:name="xdx_8B7_zjcSvRMoYJie"/>
      <w:bookmarkEnd w:id="451"/>
      <w:r>
        <w:rPr>
          <w:rFonts w:ascii="Times New Roman;Times;Serif" w:hAnsi="Times New Roman;Times;Serif"/>
          <w:b w:val="false"/>
          <w:i w:val="false"/>
          <w:caps w:val="false"/>
          <w:smallCaps w:val="false"/>
          <w:sz w:val="20"/>
        </w:rPr>
        <w:t>SCHEDULE OF PREPAID EXPENSES AND OTHER CURRENT ASSETS </w:t>
      </w:r>
    </w:p>
    <w:tbl>
      <w:tblPr>
        <w:tblW w:w="6448" w:type="dxa"/>
        <w:jc w:val="left"/>
        <w:tblInd w:w="0" w:type="dxa"/>
        <w:tblLayout w:type="fixed"/>
        <w:tblCellMar>
          <w:top w:w="0" w:type="dxa"/>
          <w:left w:w="0" w:type="dxa"/>
          <w:bottom w:w="0" w:type="dxa"/>
          <w:right w:w="0" w:type="dxa"/>
        </w:tblCellMar>
      </w:tblPr>
      <w:tblGrid>
        <w:gridCol w:w="3365"/>
        <w:gridCol w:w="60"/>
        <w:gridCol w:w="176"/>
        <w:gridCol w:w="1238"/>
        <w:gridCol w:w="60"/>
        <w:gridCol w:w="60"/>
        <w:gridCol w:w="176"/>
        <w:gridCol w:w="1238"/>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7_20251231_zbTM7DpjSs2l"/>
            <w:bookmarkEnd w:id="452"/>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B_20241231_zyZqkLiRNdsc"/>
            <w:bookmarkEnd w:id="45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54" w:name="xdx_40F_ecustom--PrepaidConsulting_iI_pp"/>
            <w:bookmarkEnd w:id="454"/>
          </w:p>
        </w:tc>
      </w:tr>
      <w:tr>
        <w:trPr/>
        <w:tc>
          <w:tcPr>
            <w:tcW w:w="3365" w:type="dxa"/>
            <w:tcBorders/>
            <w:shd w:fill="CCEEFF" w:val="clear"/>
            <w:vAlign w:val="center"/>
          </w:tcPr>
          <w:p>
            <w:pPr>
              <w:pStyle w:val="TableContents"/>
              <w:bidi w:val="0"/>
              <w:spacing w:before="0" w:after="283"/>
              <w:jc w:val="left"/>
              <w:rPr/>
            </w:pPr>
            <w:r>
              <w:rPr/>
              <w:t>Prepaid consulting</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461,337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1,241,537</w:t>
            </w:r>
          </w:p>
        </w:tc>
        <w:tc>
          <w:tcPr>
            <w:tcW w:w="75" w:type="dxa"/>
            <w:tcBorders/>
            <w:shd w:fill="CCEEFF" w:val="clear"/>
            <w:vAlign w:val="center"/>
          </w:tcPr>
          <w:p>
            <w:pPr>
              <w:pStyle w:val="TableContents"/>
              <w:bidi w:val="0"/>
              <w:spacing w:before="0" w:after="283"/>
              <w:jc w:val="left"/>
              <w:rPr/>
            </w:pPr>
            <w:r>
              <w:rPr/>
              <w:t> </w:t>
            </w:r>
            <w:bookmarkStart w:id="455" w:name="xdx_403_eus-gaap--PrepaidInsurance_iI_pp"/>
            <w:bookmarkEnd w:id="455"/>
          </w:p>
        </w:tc>
      </w:tr>
      <w:tr>
        <w:trPr/>
        <w:tc>
          <w:tcPr>
            <w:tcW w:w="3365" w:type="dxa"/>
            <w:tcBorders/>
            <w:shd w:fill="FFFFFF" w:val="clear"/>
            <w:vAlign w:val="center"/>
          </w:tcPr>
          <w:p>
            <w:pPr>
              <w:pStyle w:val="TableContents"/>
              <w:bidi w:val="0"/>
              <w:spacing w:before="0" w:after="283"/>
              <w:jc w:val="left"/>
              <w:rPr/>
            </w:pPr>
            <w:r>
              <w:rPr/>
              <w:t>Prepaid insurance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481,338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226,482</w:t>
            </w:r>
          </w:p>
        </w:tc>
        <w:tc>
          <w:tcPr>
            <w:tcW w:w="75" w:type="dxa"/>
            <w:tcBorders/>
            <w:shd w:fill="FFFFFF" w:val="clear"/>
            <w:vAlign w:val="center"/>
          </w:tcPr>
          <w:p>
            <w:pPr>
              <w:pStyle w:val="TableContents"/>
              <w:bidi w:val="0"/>
              <w:spacing w:before="0" w:after="283"/>
              <w:jc w:val="left"/>
              <w:rPr/>
            </w:pPr>
            <w:r>
              <w:rPr/>
              <w:t> </w:t>
            </w:r>
            <w:bookmarkStart w:id="456" w:name="xdx_409_ecustom--PrepaidLegal_iI_pp0p0_m"/>
            <w:bookmarkEnd w:id="456"/>
          </w:p>
        </w:tc>
      </w:tr>
      <w:tr>
        <w:trPr/>
        <w:tc>
          <w:tcPr>
            <w:tcW w:w="3365" w:type="dxa"/>
            <w:tcBorders/>
            <w:shd w:fill="CCEEFF" w:val="clear"/>
            <w:vAlign w:val="center"/>
          </w:tcPr>
          <w:p>
            <w:pPr>
              <w:pStyle w:val="TableContents"/>
              <w:bidi w:val="0"/>
              <w:spacing w:before="0" w:after="283"/>
              <w:jc w:val="left"/>
              <w:rPr/>
            </w:pPr>
            <w:r>
              <w:rPr/>
              <w:t>Prepaid legal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84,193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57" w:name="xdx_406_eus-gaap--OtherAssetsCurrent_iI_"/>
            <w:bookmarkEnd w:id="457"/>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1,638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31,200</w:t>
            </w:r>
          </w:p>
        </w:tc>
        <w:tc>
          <w:tcPr>
            <w:tcW w:w="75" w:type="dxa"/>
            <w:tcBorders/>
            <w:shd w:fill="FFFFFF" w:val="clear"/>
            <w:vAlign w:val="center"/>
          </w:tcPr>
          <w:p>
            <w:pPr>
              <w:pStyle w:val="TableContents"/>
              <w:bidi w:val="0"/>
              <w:spacing w:before="0" w:after="283"/>
              <w:jc w:val="left"/>
              <w:rPr/>
            </w:pPr>
            <w:r>
              <w:rPr/>
              <w:t> </w:t>
            </w:r>
            <w:bookmarkStart w:id="458" w:name="xdx_40A_eus-gaap--PrepaidExpenseAndOther"/>
            <w:bookmarkEnd w:id="458"/>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1,028,506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1,499,219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9" w:name="xdx_8A8_zx1UYbZH0Le2"/>
      <w:bookmarkEnd w:id="45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0" w:name="xdx_801_eus-gaap--LoansNotesTradeAndOthe"/>
      <w:bookmarkEnd w:id="460"/>
      <w:r>
        <w:rPr>
          <w:rFonts w:ascii="Times New Roman;Times;Serif" w:hAnsi="Times New Roman;Times;Serif"/>
          <w:b/>
          <w:i w:val="false"/>
          <w:caps w:val="false"/>
          <w:smallCaps w:val="false"/>
          <w:sz w:val="20"/>
        </w:rPr>
        <w:t>NOTE 6 —</w:t>
      </w:r>
      <w:bookmarkStart w:id="461" w:name="xdx_822_zisSmtWECl7l"/>
      <w:bookmarkEnd w:id="461"/>
      <w:r>
        <w:rPr>
          <w:rFonts w:ascii="Times New Roman;Times;Serif" w:hAnsi="Times New Roman;Times;Serif"/>
          <w:b/>
          <w:i w:val="false"/>
          <w:caps w:val="false"/>
          <w:smallCaps w:val="false"/>
          <w:sz w:val="20"/>
        </w:rPr>
        <w:t>SHORT-TERM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2" w:name="xdx_89E_eus-gaap--ScheduleOfAccountsNote"/>
      <w:bookmarkEnd w:id="462"/>
      <w:r>
        <w:rPr>
          <w:rFonts w:ascii="Times New Roman;Times;Serif" w:hAnsi="Times New Roman;Times;Serif"/>
          <w:b w:val="false"/>
          <w:i w:val="false"/>
          <w:caps w:val="false"/>
          <w:smallCaps w:val="false"/>
          <w:sz w:val="20"/>
        </w:rPr>
        <w:t>Short term notes receivable - consisted of the following at December 31, 2025 and 2024:</w:t>
      </w:r>
    </w:p>
    <w:p>
      <w:pPr>
        <w:pStyle w:val="TextBody"/>
        <w:bidi w:val="0"/>
        <w:spacing w:before="0" w:after="0"/>
        <w:ind w:left="0" w:right="0" w:hanging="0"/>
        <w:jc w:val="left"/>
        <w:rPr>
          <w:caps w:val="false"/>
          <w:smallCaps w:val="false"/>
        </w:rPr>
      </w:pPr>
      <w:r>
        <w:rPr>
          <w:caps w:val="false"/>
          <w:smallCaps w:val="false"/>
        </w:rPr>
        <w:t> </w:t>
      </w:r>
      <w:bookmarkStart w:id="463" w:name="xdx_8B3_zzVbKNRauKFk"/>
      <w:bookmarkEnd w:id="463"/>
      <w:r>
        <w:rPr>
          <w:rFonts w:ascii="Times New Roman;Times;Serif" w:hAnsi="Times New Roman;Times;Serif"/>
          <w:b w:val="false"/>
          <w:i w:val="false"/>
          <w:caps w:val="false"/>
          <w:smallCaps w:val="false"/>
          <w:sz w:val="20"/>
        </w:rPr>
        <w:t>SCHEDULE OF SHORT-TERM NOTE RECEIVABLE</w:t>
      </w:r>
    </w:p>
    <w:tbl>
      <w:tblPr>
        <w:tblW w:w="6833" w:type="dxa"/>
        <w:jc w:val="left"/>
        <w:tblInd w:w="0" w:type="dxa"/>
        <w:tblLayout w:type="fixed"/>
        <w:tblCellMar>
          <w:top w:w="0" w:type="dxa"/>
          <w:left w:w="0" w:type="dxa"/>
          <w:bottom w:w="0" w:type="dxa"/>
          <w:right w:w="0" w:type="dxa"/>
        </w:tblCellMar>
      </w:tblPr>
      <w:tblGrid>
        <w:gridCol w:w="3680"/>
        <w:gridCol w:w="60"/>
        <w:gridCol w:w="165"/>
        <w:gridCol w:w="1249"/>
        <w:gridCol w:w="95"/>
        <w:gridCol w:w="60"/>
        <w:gridCol w:w="176"/>
        <w:gridCol w:w="1238"/>
        <w:gridCol w:w="11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4" w:name="xdx_494_20251231_zV4cbSWsuLx3"/>
            <w:bookmarkEnd w:id="464"/>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5" w:name="xdx_49D_20241231_zblHXpb92EUe"/>
            <w:bookmarkEnd w:id="465"/>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466" w:name="xdx_40F_eus-gaap--NotesAndLoansReceivabl"/>
            <w:bookmarkEnd w:id="466"/>
          </w:p>
        </w:tc>
      </w:tr>
      <w:tr>
        <w:trPr/>
        <w:tc>
          <w:tcPr>
            <w:tcW w:w="3680" w:type="dxa"/>
            <w:tcBorders/>
            <w:shd w:fill="CCEEFF" w:val="clear"/>
            <w:vAlign w:val="center"/>
          </w:tcPr>
          <w:p>
            <w:pPr>
              <w:pStyle w:val="TableContents"/>
              <w:bidi w:val="0"/>
              <w:spacing w:before="0" w:after="283"/>
              <w:jc w:val="left"/>
              <w:rPr/>
            </w:pPr>
            <w:r>
              <w:rPr/>
              <w:t>Short-term note receivable - Marizyme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4,898,060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2,370,692</w:t>
            </w:r>
          </w:p>
        </w:tc>
        <w:tc>
          <w:tcPr>
            <w:tcW w:w="110" w:type="dxa"/>
            <w:tcBorders/>
            <w:shd w:fill="CCEEFF" w:val="clear"/>
            <w:vAlign w:val="center"/>
          </w:tcPr>
          <w:p>
            <w:pPr>
              <w:pStyle w:val="TableContents"/>
              <w:bidi w:val="0"/>
              <w:spacing w:before="0" w:after="283"/>
              <w:jc w:val="left"/>
              <w:rPr/>
            </w:pPr>
            <w:r>
              <w:rPr/>
              <w:t> </w:t>
            </w:r>
            <w:bookmarkStart w:id="467" w:name="xdx_401_eus-gaap--AllowanceForNotesAndLo"/>
            <w:bookmarkEnd w:id="467"/>
          </w:p>
        </w:tc>
      </w:tr>
      <w:tr>
        <w:trPr/>
        <w:tc>
          <w:tcPr>
            <w:tcW w:w="36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(4,555,000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(360,000</w:t>
            </w:r>
          </w:p>
        </w:tc>
        <w:tc>
          <w:tcPr>
            <w:tcW w:w="110" w:type="dxa"/>
            <w:tcBorders/>
            <w:shd w:fill="FFFFFF" w:val="clear"/>
            <w:vAlign w:val="center"/>
          </w:tcPr>
          <w:p>
            <w:pPr>
              <w:pStyle w:val="TableContents"/>
              <w:bidi w:val="0"/>
              <w:spacing w:before="0" w:after="283"/>
              <w:jc w:val="left"/>
              <w:rPr/>
            </w:pPr>
            <w:r>
              <w:rPr/>
              <w:t>)</w:t>
            </w:r>
            <w:bookmarkStart w:id="468" w:name="xdx_407_eus-gaap--NotesAndLoansReceivabl"/>
            <w:bookmarkEnd w:id="468"/>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notes receivable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r>
              <w:rPr/>
              <w:t>343,060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2,010,692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9" w:name="xdx_8A6_zo1kL7KQ3e32"/>
      <w:bookmarkEnd w:id="4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and 2024, the Company advanced to Marizyme, Inc., $</w:t>
      </w:r>
      <w:bookmarkStart w:id="470" w:name="xdx_909_eus-gaap--DebtInstrumentFaceAmou"/>
      <w:bookmarkEnd w:id="470"/>
      <w:r>
        <w:rPr>
          <w:rFonts w:ascii="Times New Roman;Times;Serif" w:hAnsi="Times New Roman;Times;Serif"/>
          <w:b w:val="false"/>
          <w:i w:val="false"/>
          <w:caps w:val="false"/>
          <w:smallCaps w:val="false"/>
          <w:sz w:val="20"/>
        </w:rPr>
        <w:t>1,909,500 and $</w:t>
      </w:r>
      <w:bookmarkStart w:id="471" w:name="xdx_90C_eus-gaap--DebtInstrumentFaceAmou"/>
      <w:bookmarkEnd w:id="471"/>
      <w:r>
        <w:rPr>
          <w:rFonts w:ascii="Times New Roman;Times;Serif" w:hAnsi="Times New Roman;Times;Serif"/>
          <w:b w:val="false"/>
          <w:i w:val="false"/>
          <w:caps w:val="false"/>
          <w:smallCaps w:val="false"/>
          <w:sz w:val="20"/>
        </w:rPr>
        <w:t>2,257,400, respectively, against which Marizyme delivered demand promissory notes to the Company of like principal amounts (the “Marizyme Notes”). As of December 31, 2025 and 2024 accrued interest related to the Marizyme Notes was $</w:t>
      </w:r>
      <w:bookmarkStart w:id="472" w:name="xdx_903_ecustom--AccruedInterest_c202501"/>
      <w:bookmarkEnd w:id="472"/>
      <w:r>
        <w:rPr>
          <w:rFonts w:ascii="Times New Roman;Times;Serif" w:hAnsi="Times New Roman;Times;Serif"/>
          <w:b w:val="false"/>
          <w:i w:val="false"/>
          <w:caps w:val="false"/>
          <w:smallCaps w:val="false"/>
          <w:sz w:val="20"/>
        </w:rPr>
        <w:t>731,160 and $</w:t>
      </w:r>
      <w:bookmarkStart w:id="473" w:name="xdx_904_ecustom--AccruedInterest_c202401"/>
      <w:bookmarkEnd w:id="473"/>
      <w:r>
        <w:rPr>
          <w:rFonts w:ascii="Times New Roman;Times;Serif" w:hAnsi="Times New Roman;Times;Serif"/>
          <w:b w:val="false"/>
          <w:i w:val="false"/>
          <w:caps w:val="false"/>
          <w:smallCaps w:val="false"/>
          <w:sz w:val="20"/>
        </w:rPr>
        <w:t>113,292, respectively and interest income of $</w:t>
      </w:r>
      <w:bookmarkStart w:id="474" w:name="xdx_90E_ecustom--AccruedInterestOnShortt"/>
      <w:bookmarkEnd w:id="474"/>
      <w:r>
        <w:rPr>
          <w:rFonts w:ascii="Times New Roman;Times;Serif" w:hAnsi="Times New Roman;Times;Serif"/>
          <w:b w:val="false"/>
          <w:i w:val="false"/>
          <w:caps w:val="false"/>
          <w:smallCaps w:val="false"/>
          <w:sz w:val="20"/>
        </w:rPr>
        <w:t>617,868 and $</w:t>
      </w:r>
      <w:bookmarkStart w:id="475" w:name="xdx_908_ecustom--AccruedInterestOnShortt"/>
      <w:bookmarkEnd w:id="475"/>
      <w:r>
        <w:rPr>
          <w:rFonts w:ascii="Times New Roman;Times;Serif" w:hAnsi="Times New Roman;Times;Serif"/>
          <w:b w:val="false"/>
          <w:i w:val="false"/>
          <w:caps w:val="false"/>
          <w:smallCaps w:val="false"/>
          <w:sz w:val="20"/>
        </w:rPr>
        <w:t>113,292, respectively, was recognized in other income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Marizyme Notes bear at interest the rate of eighteen percent (</w:t>
      </w:r>
      <w:bookmarkStart w:id="476" w:name="xdx_90D_eus-gaap--DebtInstrumentInterest"/>
      <w:bookmarkEnd w:id="476"/>
      <w:r>
        <w:rPr>
          <w:rFonts w:ascii="Times New Roman;Times;Serif" w:hAnsi="Times New Roman;Times;Serif"/>
          <w:b w:val="false"/>
          <w:i w:val="false"/>
          <w:caps w:val="false"/>
          <w:smallCaps w:val="false"/>
          <w:sz w:val="20"/>
        </w:rPr>
        <w:t>18%) per annum. Marizyme may pre-pay all or any part of the outstanding principal or interest at any time and from time to time, in whole or in part, without premium or penalty.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326-20, known as the current expected credit loss (“CECL”) model, the Company was required to estimate credit losses expected over the life of an exposure (or pool of exposures) based on historical information, current information, and reasonable and supportable forecasts. The Company is unable to use its historical data to estimate losses as it has no relevant loss history to date. To determine the estimate of expected credit losses, the Company used a probability-weighted approach that incorporates multiple settlement scenarios, including recovery of amounts due upon an acquisition of the debtor, and recovery in different liquidation scenarios, and determines the expected recoverable amount of the loan in each scenario. This model requires management to make certain assumptions including the likelihood of each outcome, the estimated value of the debtor’s assets, and the Company’s expected claim and recovery rate on the debtor’s assets in the event of an insolvency or a liquidation proceeding. As of December 31, 2025, the estimate for expected credit losses on the Marizyme Notes is $</w:t>
      </w:r>
      <w:bookmarkStart w:id="477" w:name="xdx_906_eus-gaap--AllowanceForNotesAndLo"/>
      <w:bookmarkEnd w:id="477"/>
      <w:r>
        <w:rPr>
          <w:rFonts w:ascii="Times New Roman;Times;Serif" w:hAnsi="Times New Roman;Times;Serif"/>
          <w:b w:val="false"/>
          <w:i w:val="false"/>
          <w:caps w:val="false"/>
          <w:smallCaps w:val="false"/>
          <w:sz w:val="20"/>
        </w:rPr>
        <w:t>4,555,000. Given the inherently uncertain nature of the debtor’s financial condition and future outcomes, actual credit losses may differ materially from this estimate. The Company will continue to monitor relevant events and conditions and update its assumptions and allowance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party to a Co-Development Agreement with Marizyme (see Note 14 - Research and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8" w:name="xdx_80F_eus-gaap--DisposalGroupsIncludin"/>
      <w:bookmarkEnd w:id="478"/>
      <w:r>
        <w:rPr>
          <w:rFonts w:ascii="Times New Roman;Times;Serif" w:hAnsi="Times New Roman;Times;Serif"/>
          <w:b/>
          <w:i w:val="false"/>
          <w:caps w:val="false"/>
          <w:smallCaps w:val="false"/>
          <w:sz w:val="20"/>
        </w:rPr>
        <w:t xml:space="preserve">NOTE 7 — </w:t>
      </w:r>
      <w:bookmarkStart w:id="479" w:name="xdx_82C_zhviaKR6InA3"/>
      <w:bookmarkEnd w:id="479"/>
      <w:r>
        <w:rPr>
          <w:rFonts w:ascii="Times New Roman;Times;Serif" w:hAnsi="Times New Roman;Times;Serif"/>
          <w:b/>
          <w:i w:val="false"/>
          <w:caps w:val="false"/>
          <w:smallCaps w:val="false"/>
          <w:sz w:val="20"/>
        </w:rPr>
        <w:t>DISCONTINUED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2023, the Company completed the sale of Qualigen, Inc., its formerly wholly-owned subsidiary, to Chembio Diagnostics, Inc. for net cash consideration of $</w:t>
      </w:r>
      <w:bookmarkStart w:id="480" w:name="xdx_909_eus-gaap--ProceedsFromDivestitur"/>
      <w:bookmarkEnd w:id="480"/>
      <w:r>
        <w:rPr>
          <w:rFonts w:ascii="Times New Roman;Times;Serif" w:hAnsi="Times New Roman;Times;Serif"/>
          <w:b w:val="false"/>
          <w:i w:val="false"/>
          <w:caps w:val="false"/>
          <w:smallCaps w:val="false"/>
          <w:sz w:val="20"/>
        </w:rPr>
        <w:t>5.4 million, of which $</w:t>
      </w:r>
      <w:bookmarkStart w:id="481" w:name="xdx_90A_eus-gaap--ProceedsFromDivestitur"/>
      <w:bookmarkEnd w:id="481"/>
      <w:r>
        <w:rPr>
          <w:rFonts w:ascii="Times New Roman;Times;Serif" w:hAnsi="Times New Roman;Times;Serif"/>
          <w:b w:val="false"/>
          <w:i w:val="false"/>
          <w:caps w:val="false"/>
          <w:smallCaps w:val="false"/>
          <w:sz w:val="20"/>
        </w:rPr>
        <w:t>4.9 million was received during the year ended December 31, 2023, and $</w:t>
      </w:r>
      <w:bookmarkStart w:id="482" w:name="xdx_90D_eus-gaap--EscrowDeposit_iI_c2023"/>
      <w:bookmarkEnd w:id="482"/>
      <w:r>
        <w:rPr>
          <w:rFonts w:ascii="Times New Roman;Times;Serif" w:hAnsi="Times New Roman;Times;Serif"/>
          <w:b w:val="false"/>
          <w:i w:val="false"/>
          <w:caps w:val="false"/>
          <w:smallCaps w:val="false"/>
          <w:sz w:val="20"/>
        </w:rPr>
        <w:t>450,000 was being held in escrow until January 20, 2025 to satisfy certain Company indemnification obligations. On June 4, 2024, the escrow account was settled early by mutual agreement of the Company and the buyer resulting in cash proceeds to the Company of $</w:t>
      </w:r>
      <w:bookmarkStart w:id="483" w:name="xdx_905_eus-gaap--EscrowDepositsRelatedT"/>
      <w:bookmarkEnd w:id="483"/>
      <w:r>
        <w:rPr>
          <w:rFonts w:ascii="Times New Roman;Times;Serif" w:hAnsi="Times New Roman;Times;Serif"/>
          <w:b w:val="false"/>
          <w:i w:val="false"/>
          <w:caps w:val="false"/>
          <w:smallCaps w:val="false"/>
          <w:sz w:val="20"/>
        </w:rPr>
        <w:t>350,000 and a loss on disposal of discontinued operations of $</w:t>
      </w:r>
      <w:bookmarkStart w:id="484" w:name="xdx_90D_eus-gaap--GainsLossesOnSalesOfAs"/>
      <w:bookmarkEnd w:id="484"/>
      <w:r>
        <w:rPr>
          <w:rFonts w:ascii="Times New Roman;Times;Serif" w:hAnsi="Times New Roman;Times;Serif"/>
          <w:b w:val="false"/>
          <w:i w:val="false"/>
          <w:caps w:val="false"/>
          <w:smallCaps w:val="false"/>
          <w:sz w:val="20"/>
        </w:rPr>
        <w:t>100,000 for the year ended December 31, 2024. There was no activity related to Qualigen, Inc.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assets and liabilities remaining related to Qualigen, Inc. as of December 31, 2025 or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5" w:name="xdx_801_eus-gaap--AccountsPayableAccrued"/>
      <w:bookmarkEnd w:id="485"/>
      <w:r>
        <w:rPr>
          <w:rFonts w:ascii="Times New Roman;Times;Serif" w:hAnsi="Times New Roman;Times;Serif"/>
          <w:b/>
          <w:i w:val="false"/>
          <w:caps w:val="false"/>
          <w:smallCaps w:val="false"/>
          <w:sz w:val="20"/>
        </w:rPr>
        <w:t xml:space="preserve">NOTE 8 — </w:t>
      </w:r>
      <w:bookmarkStart w:id="486" w:name="xdx_82E_zx4JZzv5jcdd"/>
      <w:bookmarkEnd w:id="486"/>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7" w:name="xdx_897_eus-gaap--ScheduleOfAccountsPaya"/>
      <w:bookmarkEnd w:id="487"/>
      <w:r>
        <w:rPr>
          <w:rFonts w:ascii="Times New Roman;Times;Serif" w:hAnsi="Times New Roman;Times;Serif"/>
          <w:b w:val="false"/>
          <w:i w:val="false"/>
          <w:caps w:val="false"/>
          <w:smallCaps w:val="false"/>
          <w:sz w:val="20"/>
        </w:rPr>
        <w:t>Accrued expenses and other current liabilities consisted of the following at December 31, 2025 and 2024:</w:t>
      </w:r>
    </w:p>
    <w:p>
      <w:pPr>
        <w:pStyle w:val="TextBody"/>
        <w:bidi w:val="0"/>
        <w:spacing w:before="0" w:after="0"/>
        <w:ind w:left="0" w:right="0" w:hanging="0"/>
        <w:jc w:val="both"/>
        <w:rPr>
          <w:caps w:val="false"/>
          <w:smallCaps w:val="false"/>
        </w:rPr>
      </w:pPr>
      <w:r>
        <w:rPr>
          <w:caps w:val="false"/>
          <w:smallCaps w:val="false"/>
        </w:rPr>
        <w:t> </w:t>
      </w:r>
      <w:bookmarkStart w:id="488" w:name="xdx_8B7_zOQby3QFut8k"/>
      <w:bookmarkEnd w:id="488"/>
      <w:r>
        <w:rPr>
          <w:rFonts w:ascii="Times New Roman;Times;Serif" w:hAnsi="Times New Roman;Times;Serif"/>
          <w:b w:val="false"/>
          <w:i w:val="false"/>
          <w:caps w:val="false"/>
          <w:smallCaps w:val="false"/>
          <w:sz w:val="20"/>
        </w:rPr>
        <w:t>SCHEDULE OF ACCRUED EXPENSES AND OTHER CURRENT LIABILITIES</w:t>
      </w:r>
    </w:p>
    <w:tbl>
      <w:tblPr>
        <w:tblW w:w="6823" w:type="dxa"/>
        <w:jc w:val="left"/>
        <w:tblInd w:w="0" w:type="dxa"/>
        <w:tblLayout w:type="fixed"/>
        <w:tblCellMar>
          <w:top w:w="0" w:type="dxa"/>
          <w:left w:w="0" w:type="dxa"/>
          <w:bottom w:w="0" w:type="dxa"/>
          <w:right w:w="0" w:type="dxa"/>
        </w:tblCellMar>
      </w:tblPr>
      <w:tblGrid>
        <w:gridCol w:w="3740"/>
        <w:gridCol w:w="60"/>
        <w:gridCol w:w="210"/>
        <w:gridCol w:w="1204"/>
        <w:gridCol w:w="60"/>
        <w:gridCol w:w="60"/>
        <w:gridCol w:w="210"/>
        <w:gridCol w:w="1204"/>
        <w:gridCol w:w="7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9" w:name="xdx_49C_20251231_zlzf3FeOCXLa"/>
            <w:bookmarkEnd w:id="489"/>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0" w:name="xdx_492_20241231_zplcCNOi5pac"/>
            <w:bookmarkEnd w:id="490"/>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91" w:name="xdx_409_ecustom--AccruedLicenseFees_iI_p"/>
            <w:bookmarkEnd w:id="491"/>
          </w:p>
        </w:tc>
      </w:tr>
      <w:tr>
        <w:trPr/>
        <w:tc>
          <w:tcPr>
            <w:tcW w:w="3740" w:type="dxa"/>
            <w:tcBorders/>
            <w:shd w:fill="CCEEFF" w:val="clear"/>
            <w:vAlign w:val="center"/>
          </w:tcPr>
          <w:p>
            <w:pPr>
              <w:pStyle w:val="TableContents"/>
              <w:bidi w:val="0"/>
              <w:spacing w:before="0" w:after="283"/>
              <w:jc w:val="left"/>
              <w:rPr/>
            </w:pPr>
            <w:r>
              <w:rPr/>
              <w:t>License fees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14,427</w:t>
            </w:r>
          </w:p>
        </w:tc>
        <w:tc>
          <w:tcPr>
            <w:tcW w:w="75" w:type="dxa"/>
            <w:tcBorders/>
            <w:shd w:fill="CCEEFF" w:val="clear"/>
            <w:vAlign w:val="center"/>
          </w:tcPr>
          <w:p>
            <w:pPr>
              <w:pStyle w:val="TableContents"/>
              <w:bidi w:val="0"/>
              <w:spacing w:before="0" w:after="283"/>
              <w:jc w:val="left"/>
              <w:rPr/>
            </w:pPr>
            <w:r>
              <w:rPr/>
              <w:t> </w:t>
            </w:r>
            <w:bookmarkStart w:id="492" w:name="xdx_403_ecustom--AccruedCreditCard_iI_pp"/>
            <w:bookmarkEnd w:id="492"/>
          </w:p>
        </w:tc>
      </w:tr>
      <w:tr>
        <w:trPr/>
        <w:tc>
          <w:tcPr>
            <w:tcW w:w="3740" w:type="dxa"/>
            <w:tcBorders/>
            <w:shd w:fill="FFFFFF" w:val="clear"/>
            <w:vAlign w:val="center"/>
          </w:tcPr>
          <w:p>
            <w:pPr>
              <w:pStyle w:val="TableContents"/>
              <w:bidi w:val="0"/>
              <w:spacing w:before="0" w:after="283"/>
              <w:jc w:val="left"/>
              <w:rPr/>
            </w:pPr>
            <w:r>
              <w:rPr/>
              <w:t>Credit card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93" w:name="xdx_40D_eus-gaap--AccruedProfessionalFee"/>
            <w:bookmarkEnd w:id="493"/>
          </w:p>
        </w:tc>
      </w:tr>
      <w:tr>
        <w:trPr/>
        <w:tc>
          <w:tcPr>
            <w:tcW w:w="374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115,434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109,324</w:t>
            </w:r>
          </w:p>
        </w:tc>
        <w:tc>
          <w:tcPr>
            <w:tcW w:w="75" w:type="dxa"/>
            <w:tcBorders/>
            <w:shd w:fill="CCEEFF" w:val="clear"/>
            <w:vAlign w:val="center"/>
          </w:tcPr>
          <w:p>
            <w:pPr>
              <w:pStyle w:val="TableContents"/>
              <w:bidi w:val="0"/>
              <w:spacing w:before="0" w:after="283"/>
              <w:jc w:val="left"/>
              <w:rPr/>
            </w:pPr>
            <w:r>
              <w:rPr/>
              <w:t> </w:t>
            </w:r>
            <w:bookmarkStart w:id="494" w:name="xdx_40A_eus-gaap--AccruedVacationCurrent"/>
            <w:bookmarkEnd w:id="494"/>
          </w:p>
        </w:tc>
      </w:tr>
      <w:tr>
        <w:trPr/>
        <w:tc>
          <w:tcPr>
            <w:tcW w:w="3740" w:type="dxa"/>
            <w:tcBorders/>
            <w:shd w:fill="FFFFFF" w:val="clear"/>
            <w:vAlign w:val="center"/>
          </w:tcPr>
          <w:p>
            <w:pPr>
              <w:pStyle w:val="TableContents"/>
              <w:bidi w:val="0"/>
              <w:spacing w:before="0" w:after="283"/>
              <w:jc w:val="left"/>
              <w:rPr/>
            </w:pPr>
            <w:r>
              <w:rPr/>
              <w:t>Vacation</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46,492</w:t>
            </w:r>
          </w:p>
        </w:tc>
        <w:tc>
          <w:tcPr>
            <w:tcW w:w="75" w:type="dxa"/>
            <w:tcBorders/>
            <w:shd w:fill="FFFFFF" w:val="clear"/>
            <w:vAlign w:val="center"/>
          </w:tcPr>
          <w:p>
            <w:pPr>
              <w:pStyle w:val="TableContents"/>
              <w:bidi w:val="0"/>
              <w:spacing w:before="0" w:after="283"/>
              <w:jc w:val="left"/>
              <w:rPr/>
            </w:pPr>
            <w:r>
              <w:rPr/>
              <w:t> </w:t>
            </w:r>
            <w:bookmarkStart w:id="495" w:name="xdx_402_eus-gaap--AccruedLiabilitiesCurr"/>
            <w:bookmarkEnd w:id="495"/>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136,234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170,243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6" w:name="xdx_8AB_zRKfS0BwoVM8"/>
      <w:bookmarkEnd w:id="49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7" w:name="xdx_807_ecustom--WarrantLiabilitiesTextB"/>
      <w:bookmarkEnd w:id="497"/>
      <w:r>
        <w:rPr>
          <w:rFonts w:ascii="Times New Roman;Times;Serif" w:hAnsi="Times New Roman;Times;Serif"/>
          <w:b/>
          <w:i w:val="false"/>
          <w:caps w:val="false"/>
          <w:smallCaps w:val="false"/>
          <w:sz w:val="20"/>
        </w:rPr>
        <w:t xml:space="preserve">NOTE 9 – </w:t>
      </w:r>
      <w:bookmarkStart w:id="498" w:name="xdx_826_zLoT8x6PRNTc"/>
      <w:bookmarkEnd w:id="498"/>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2004, the Company issued warrants to various investors and brokers for the purchase of Series C preferred stock in connection with a private placement (the “Series C Warrants”). The Series C Warrants were subsequently extended and, upon closing of the reverse recapitalization transaction with Ritter, exchanged for warrants to purchase common stock of the Company. On February 27, 2024, these Series C Warrants were repriced as a result of a down-round provision triggered by a Securities Purchase Agreement with Alpha for the purchase of the February 2024 Debentures described below, from an exercise price of $</w:t>
      </w:r>
      <w:bookmarkStart w:id="499" w:name="xdx_90D_eus-gaap--ClassOfWarrantOrRightE"/>
      <w:bookmarkEnd w:id="499"/>
      <w:r>
        <w:rPr>
          <w:rFonts w:ascii="Times New Roman;Times;Serif" w:hAnsi="Times New Roman;Times;Serif"/>
          <w:b w:val="false"/>
          <w:i w:val="false"/>
          <w:caps w:val="false"/>
          <w:smallCaps w:val="false"/>
          <w:sz w:val="20"/>
        </w:rPr>
        <w:t>36.50 per share to an exercise price of $</w:t>
      </w:r>
      <w:bookmarkStart w:id="500" w:name="xdx_90B_eus-gaap--ClassOfWarrantOrRightE"/>
      <w:bookmarkEnd w:id="500"/>
      <w:r>
        <w:rPr>
          <w:rFonts w:ascii="Times New Roman;Times;Serif" w:hAnsi="Times New Roman;Times;Serif"/>
          <w:b w:val="false"/>
          <w:i w:val="false"/>
          <w:caps w:val="false"/>
          <w:smallCaps w:val="false"/>
          <w:sz w:val="20"/>
        </w:rPr>
        <w:t xml:space="preserve">13.00 per share, with </w:t>
      </w:r>
      <w:bookmarkStart w:id="501" w:name="xdx_907_eus-gaap--ClassOfWarrantOrRightN"/>
      <w:bookmarkEnd w:id="501"/>
      <w:r>
        <w:rPr>
          <w:rFonts w:ascii="Times New Roman;Times;Serif" w:hAnsi="Times New Roman;Times;Serif"/>
          <w:b w:val="false"/>
          <w:i w:val="false"/>
          <w:caps w:val="false"/>
          <w:smallCaps w:val="false"/>
          <w:sz w:val="20"/>
        </w:rPr>
        <w:t xml:space="preserve">16,473 additional ratchet Series C Warrants issued, resulting in </w:t>
      </w:r>
      <w:bookmarkStart w:id="502" w:name="xdx_90A_eus-gaap--ShareBasedCompensation"/>
      <w:bookmarkEnd w:id="502"/>
      <w:r>
        <w:rPr>
          <w:rFonts w:ascii="Times New Roman;Times;Serif" w:hAnsi="Times New Roman;Times;Serif"/>
          <w:b w:val="false"/>
          <w:i w:val="false"/>
          <w:caps w:val="false"/>
          <w:smallCaps w:val="false"/>
          <w:sz w:val="20"/>
        </w:rPr>
        <w:t>25,586 Series C Warrants outstanding on March 31, 2024, which expired on June 26, 2024, resulting in a gain recorded in the amount of $</w:t>
      </w:r>
      <w:bookmarkStart w:id="503" w:name="xdx_901_ecustom--GainLossOnChangeInFairV"/>
      <w:bookmarkEnd w:id="503"/>
      <w:r>
        <w:rPr>
          <w:rFonts w:ascii="Times New Roman;Times;Serif" w:hAnsi="Times New Roman;Times;Serif"/>
          <w:b w:val="false"/>
          <w:i w:val="false"/>
          <w:caps w:val="false"/>
          <w:smallCaps w:val="false"/>
          <w:sz w:val="20"/>
        </w:rPr>
        <w:t>187,900 . At December 31, 2025 and December 31, 2024 the fair value of these warrants was $</w:t>
      </w:r>
      <w:bookmarkStart w:id="504" w:name="xdx_908_eus-gaap--WarrantsAndRightsOutst"/>
      <w:bookmarkStart w:id="505" w:name="xdx_903_eus-gaap--WarrantsAndRightsOutst"/>
      <w:bookmarkEnd w:id="504"/>
      <w:bookmarkEnd w:id="505"/>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2024, the Company closed its private placement transaction resulting in the issuance of newly designated Series A-2 Preferred Stock (see Note 15 – Stockholders Equity). As a result of the issuance of a new class of voting securities, the Company evaluated its equity classified warrants’ respective terms, and concluded that warrants for </w:t>
      </w:r>
      <w:bookmarkStart w:id="506" w:name="xdx_90A_eus-gaap--ClassOfWarrantOrRightN"/>
      <w:bookmarkEnd w:id="506"/>
      <w:r>
        <w:rPr>
          <w:rFonts w:ascii="Times New Roman;Times;Serif" w:hAnsi="Times New Roman;Times;Serif"/>
          <w:b w:val="false"/>
          <w:i w:val="false"/>
          <w:caps w:val="false"/>
          <w:smallCaps w:val="false"/>
          <w:sz w:val="20"/>
        </w:rPr>
        <w:t>68,712 common shares with a weighted average exercise price of $</w:t>
      </w:r>
      <w:bookmarkStart w:id="507" w:name="xdx_901_eus-gaap--ClassOfWarrantOrRightE"/>
      <w:bookmarkEnd w:id="507"/>
      <w:r>
        <w:rPr>
          <w:rFonts w:ascii="Times New Roman;Times;Serif" w:hAnsi="Times New Roman;Times;Serif"/>
          <w:b w:val="false"/>
          <w:i w:val="false"/>
          <w:caps w:val="false"/>
          <w:smallCaps w:val="false"/>
          <w:sz w:val="20"/>
        </w:rPr>
        <w:t>2.00 were required to be reclassified to liabilities, including pre-funded warrants with an exercise price of $</w:t>
      </w:r>
      <w:bookmarkStart w:id="508" w:name="xdx_905_eus-gaap--ClassOfWarrantOrRightE"/>
      <w:bookmarkEnd w:id="508"/>
      <w:r>
        <w:rPr>
          <w:rFonts w:ascii="Times New Roman;Times;Serif" w:hAnsi="Times New Roman;Times;Serif"/>
          <w:b w:val="false"/>
          <w:i w:val="false"/>
          <w:caps w:val="false"/>
          <w:smallCaps w:val="false"/>
          <w:sz w:val="20"/>
        </w:rPr>
        <w:t xml:space="preserve">0.05 per share. The pre-funded warrants are exercisable upon issuance and will remain exercisable until all the pre-funded warrants are exercised in full. At December 31, 2025, pre-funded warrants for </w:t>
      </w:r>
      <w:bookmarkStart w:id="509" w:name="xdx_908_eus-gaap--ClassOfWarrantOrRightN"/>
      <w:bookmarkEnd w:id="509"/>
      <w:r>
        <w:rPr>
          <w:rFonts w:ascii="Times New Roman;Times;Serif" w:hAnsi="Times New Roman;Times;Serif"/>
          <w:b w:val="false"/>
          <w:i w:val="false"/>
          <w:caps w:val="false"/>
          <w:smallCaps w:val="false"/>
          <w:sz w:val="20"/>
        </w:rPr>
        <w:t>51,199 common shares remained outstanding. During the years ended December 31, 2025 and 2024 the Company recorded a loss on change in fair value of warrant liabilities of approximately $</w:t>
      </w:r>
      <w:bookmarkStart w:id="510" w:name="xdx_906_ecustom--GainLossOnChangeInFairV"/>
      <w:bookmarkEnd w:id="510"/>
      <w:r>
        <w:rPr>
          <w:rFonts w:ascii="Times New Roman;Times;Serif" w:hAnsi="Times New Roman;Times;Serif"/>
          <w:b w:val="false"/>
          <w:i w:val="false"/>
          <w:caps w:val="false"/>
          <w:smallCaps w:val="false"/>
          <w:sz w:val="20"/>
        </w:rPr>
        <w:t>127,000  and $</w:t>
      </w:r>
      <w:bookmarkStart w:id="511" w:name="xdx_90D_ecustom--GainLossOnChangeInFairV"/>
      <w:bookmarkEnd w:id="511"/>
      <w:r>
        <w:rPr>
          <w:rFonts w:ascii="Times New Roman;Times;Serif" w:hAnsi="Times New Roman;Times;Serif"/>
          <w:b w:val="false"/>
          <w:i w:val="false"/>
          <w:caps w:val="false"/>
          <w:smallCaps w:val="false"/>
          <w:sz w:val="20"/>
        </w:rPr>
        <w:t>22,000, respectively for these warrants. At December 31, 2025 and December 31, 2024, the fair value of these warrants was approximately $</w:t>
      </w:r>
      <w:bookmarkStart w:id="512" w:name="xdx_903_eus-gaap--WarrantsAndRightsOutst"/>
      <w:bookmarkEnd w:id="512"/>
      <w:r>
        <w:rPr>
          <w:rFonts w:ascii="Times New Roman;Times;Serif" w:hAnsi="Times New Roman;Times;Serif"/>
          <w:b w:val="false"/>
          <w:i w:val="false"/>
          <w:caps w:val="false"/>
          <w:smallCaps w:val="false"/>
          <w:sz w:val="20"/>
        </w:rPr>
        <w:t>142,000 and $</w:t>
      </w:r>
      <w:bookmarkStart w:id="513" w:name="xdx_907_eus-gaap--WarrantsAndRightsOutst"/>
      <w:bookmarkEnd w:id="513"/>
      <w:r>
        <w:rPr>
          <w:rFonts w:ascii="Times New Roman;Times;Serif" w:hAnsi="Times New Roman;Times;Serif"/>
          <w:b w:val="false"/>
          <w:i w:val="false"/>
          <w:caps w:val="false"/>
          <w:smallCaps w:val="false"/>
          <w:sz w:val="20"/>
        </w:rPr>
        <w:t>269,000,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4" w:name="xdx_890_eus-gaap--ScheduleOfStockholders"/>
      <w:bookmarkEnd w:id="514"/>
      <w:r>
        <w:rPr>
          <w:rFonts w:ascii="Times New Roman;Times;Serif" w:hAnsi="Times New Roman;Times;Serif"/>
          <w:b w:val="false"/>
          <w:i w:val="false"/>
          <w:caps w:val="false"/>
          <w:smallCaps w:val="false"/>
          <w:sz w:val="20"/>
        </w:rPr>
        <w:t>The following table summarizes the activity in liability classified warrants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515" w:name="xdx_8B6_zU6XATwNaTKb"/>
      <w:bookmarkEnd w:id="515"/>
      <w:r>
        <w:rPr>
          <w:rFonts w:ascii="Times New Roman;Times;Serif" w:hAnsi="Times New Roman;Times;Serif"/>
          <w:b w:val="false"/>
          <w:i w:val="false"/>
          <w:caps w:val="false"/>
          <w:smallCaps w:val="false"/>
          <w:sz w:val="20"/>
        </w:rPr>
        <w:t>SCHEDULE OF WARRANTS ACTIVITY</w:t>
      </w:r>
    </w:p>
    <w:tbl>
      <w:tblPr>
        <w:tblW w:w="10202" w:type="dxa"/>
        <w:jc w:val="left"/>
        <w:tblInd w:w="0" w:type="dxa"/>
        <w:tblLayout w:type="fixed"/>
        <w:tblCellMar>
          <w:top w:w="0" w:type="dxa"/>
          <w:left w:w="0" w:type="dxa"/>
          <w:bottom w:w="0" w:type="dxa"/>
          <w:right w:w="0" w:type="dxa"/>
        </w:tblCellMar>
      </w:tblPr>
      <w:tblGrid>
        <w:gridCol w:w="3740"/>
        <w:gridCol w:w="60"/>
        <w:gridCol w:w="60"/>
        <w:gridCol w:w="680"/>
        <w:gridCol w:w="95"/>
        <w:gridCol w:w="60"/>
        <w:gridCol w:w="489"/>
        <w:gridCol w:w="1540"/>
        <w:gridCol w:w="60"/>
        <w:gridCol w:w="60"/>
        <w:gridCol w:w="228"/>
        <w:gridCol w:w="1621"/>
        <w:gridCol w:w="60"/>
        <w:gridCol w:w="60"/>
        <w:gridCol w:w="147"/>
        <w:gridCol w:w="1087"/>
        <w:gridCol w:w="15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4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Common Stock Warrants</w:t>
            </w:r>
          </w:p>
        </w:tc>
        <w:tc>
          <w:tcPr>
            <w:tcW w:w="15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 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15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Total outstanding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6" w:name="xdx_98E_eus-gaap--ShareBasedCompensation"/>
            <w:bookmarkEnd w:id="516"/>
          </w:p>
        </w:tc>
        <w:tc>
          <w:tcPr>
            <w:tcW w:w="680" w:type="dxa"/>
            <w:tcBorders/>
            <w:shd w:fill="CCEEFF" w:val="clear"/>
            <w:vAlign w:val="center"/>
          </w:tcPr>
          <w:p>
            <w:pPr>
              <w:pStyle w:val="TableContents"/>
              <w:bidi w:val="0"/>
              <w:spacing w:before="0" w:after="283"/>
              <w:jc w:val="right"/>
              <w:rPr/>
            </w:pPr>
            <w:r>
              <w:rPr/>
              <w:t>68,712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w:t>
            </w:r>
            <w:bookmarkStart w:id="517" w:name="xdx_987_ecustom--ShareBasedCompensationA"/>
            <w:bookmarkEnd w:id="517"/>
          </w:p>
        </w:tc>
        <w:tc>
          <w:tcPr>
            <w:tcW w:w="1540"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sz w:val="20"/>
              </w:rPr>
            </w:pPr>
            <w:bookmarkStart w:id="518" w:name="xdx_907_ecustom--RangeOfExercisePrice_iS"/>
            <w:bookmarkEnd w:id="518"/>
            <w:r>
              <w:rPr>
                <w:rFonts w:ascii="Times New Roman;Times;Serif" w:hAnsi="Times New Roman;Times;Serif"/>
                <w:sz w:val="20"/>
              </w:rPr>
              <w:t>0.05 - $</w:t>
            </w:r>
            <w:bookmarkStart w:id="519" w:name="xdx_906_ecustom--RangeOfExercisePrice_iS"/>
            <w:bookmarkEnd w:id="519"/>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520" w:name="xdx_901_ecustom--ShareBasedCompensationA"/>
            <w:bookmarkEnd w:id="520"/>
            <w:r>
              <w:rPr/>
              <w:t>4.32</w:t>
            </w:r>
          </w:p>
        </w:tc>
        <w:tc>
          <w:tcPr>
            <w:tcW w:w="155" w:type="dxa"/>
            <w:tcBorders/>
            <w:shd w:fill="CCEEFF" w:val="clear"/>
            <w:vAlign w:val="center"/>
          </w:tcPr>
          <w:p>
            <w:pPr>
              <w:pStyle w:val="TableContents"/>
              <w:bidi w:val="0"/>
              <w:spacing w:before="0" w:after="283"/>
              <w:jc w:val="left"/>
              <w:rPr/>
            </w:pPr>
            <w:r>
              <w:rPr/>
              <w:t>*</w:t>
            </w:r>
          </w:p>
        </w:tc>
      </w:tr>
      <w:tr>
        <w:trPr/>
        <w:tc>
          <w:tcPr>
            <w:tcW w:w="37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1" w:name="xdx_989_eus-gaap--ShareBasedCompensation"/>
            <w:bookmarkEnd w:id="521"/>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bookmarkStart w:id="522" w:name="xdx_987_ecustom--ShareBasedCompensationA"/>
            <w:bookmarkEnd w:id="522"/>
          </w:p>
        </w:tc>
        <w:tc>
          <w:tcPr>
            <w:tcW w:w="15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bookmarkStart w:id="523" w:name="xdx_902_ecustom--RangeOfExercisePriceGra"/>
            <w:bookmarkEnd w:id="523"/>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bookmarkStart w:id="524" w:name="xdx_901_ecustom--ShareBasedCompensationA"/>
            <w:bookmarkEnd w:id="524"/>
            <w:r>
              <w:rPr>
                <w:rFonts w:ascii="Times New Roman;Times;Serif" w:hAnsi="Times New Roman;Times;Serif"/>
                <w:sz w:val="20"/>
              </w:rPr>
              <w:t>4.16</w:t>
            </w:r>
            <w:r>
              <w:rPr/>
              <w:t>-</w:t>
            </w:r>
          </w:p>
        </w:tc>
        <w:tc>
          <w:tcPr>
            <w:tcW w:w="15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5" w:name="xdx_983_eus-gaap--ShareBasedCompensation"/>
            <w:bookmarkEnd w:id="525"/>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bookmarkStart w:id="526" w:name="xdx_98B_ecustom--ShareBasedCompensationA"/>
            <w:bookmarkEnd w:id="526"/>
          </w:p>
        </w:tc>
        <w:tc>
          <w:tcPr>
            <w:tcW w:w="15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bookmarkStart w:id="527" w:name="xdx_905_ecustom--RangeOfExercisePriceExc"/>
            <w:bookmarkEnd w:id="52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Reclassified from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8" w:name="xdx_988_ecustom--ShareBasedCompensationA"/>
            <w:bookmarkEnd w:id="528"/>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bookmarkStart w:id="529" w:name="xdx_987_ecustom--ShareBasedCompensationA"/>
            <w:bookmarkEnd w:id="529"/>
          </w:p>
        </w:tc>
        <w:tc>
          <w:tcPr>
            <w:tcW w:w="15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bookmarkStart w:id="530" w:name="xdx_90E_ecustom--RangeOfExercisePriceRec"/>
            <w:bookmarkEnd w:id="53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Reclassified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1" w:name="xdx_983_ecustom--ShareBasedCompensationA"/>
            <w:bookmarkEnd w:id="531"/>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bookmarkStart w:id="532" w:name="xdx_987_ecustom--ShareBasedCompensationA"/>
            <w:bookmarkEnd w:id="532"/>
          </w:p>
        </w:tc>
        <w:tc>
          <w:tcPr>
            <w:tcW w:w="15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bookmarkStart w:id="533" w:name="xdx_90B_ecustom--RangeOfExercisePriceRec"/>
            <w:bookmarkEnd w:id="533"/>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534" w:name="xdx_90C_ecustom--ShareBasedCompensationA"/>
            <w:bookmarkEnd w:id="534"/>
            <w:r>
              <w:rPr>
                <w:rFonts w:ascii="Times New Roman;Times;Serif" w:hAnsi="Times New Roman;Times;Serif"/>
                <w:sz w:val="20"/>
              </w:rPr>
              <w:t>4</w:t>
            </w:r>
            <w:r>
              <w:rPr/>
              <w:t>—</w:t>
            </w:r>
          </w:p>
        </w:tc>
        <w:tc>
          <w:tcPr>
            <w:tcW w:w="15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5" w:name="xdx_986_eus-gaap--ShareBasedCompensation"/>
            <w:bookmarkEnd w:id="535"/>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8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36" w:name="xdx_981_ecustom--ShareBasedCompensationA"/>
            <w:bookmarkEnd w:id="536"/>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537" w:name="xdx_90B_ecustom--RangeOfExpiredPrice_pid"/>
            <w:bookmarkEnd w:id="537"/>
            <w:r>
              <w:rPr>
                <w:rFonts w:ascii="Times New Roman;Times;Serif" w:hAnsi="Times New Roman;Times;Serif"/>
                <w:sz w:val="20"/>
              </w:rPr>
              <w:t>6.50 - $</w:t>
            </w:r>
            <w:bookmarkStart w:id="538" w:name="xdx_902_ecustom--RangeOfExpiredPrice_pid"/>
            <w:bookmarkEnd w:id="538"/>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Total outstanding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9" w:name="xdx_987_eus-gaap--ShareBasedCompensation"/>
            <w:bookmarkEnd w:id="539"/>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67,218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0" w:name="xdx_989_ecustom--ShareBasedCompensationA"/>
            <w:bookmarkEnd w:id="540"/>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pPr>
            <w:r>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541" w:name="xdx_902_ecustom--RangeOfExercisePrice_iE"/>
            <w:bookmarkEnd w:id="541"/>
            <w:r>
              <w:rPr>
                <w:rFonts w:ascii="Times New Roman;Times;Serif" w:hAnsi="Times New Roman;Times;Serif"/>
                <w:sz w:val="20"/>
              </w:rPr>
              <w:t>0.05 - $</w:t>
            </w:r>
            <w:bookmarkStart w:id="542" w:name="xdx_90E_ecustom--RangeOfExercisePrice_iE"/>
            <w:bookmarkEnd w:id="542"/>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43" w:name="xdx_908_ecustom--ShareBasedCompensationA"/>
            <w:bookmarkEnd w:id="543"/>
            <w:r>
              <w:rPr/>
              <w:t>3.68</w:t>
            </w:r>
          </w:p>
        </w:tc>
        <w:tc>
          <w:tcPr>
            <w:tcW w:w="155" w:type="dxa"/>
            <w:tcBorders/>
            <w:shd w:fill="CCEEFF" w:val="clear"/>
            <w:vAlign w:val="center"/>
          </w:tcPr>
          <w:p>
            <w:pPr>
              <w:pStyle w:val="TableContents"/>
              <w:bidi w:val="0"/>
              <w:spacing w:before="0" w:after="283"/>
              <w:jc w:val="left"/>
              <w:rPr/>
            </w:pPr>
            <w:r>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44" w:name="xdx_981_ecustom--ShareBasedCompensationA"/>
            <w:bookmarkEnd w:id="54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67,218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5" w:name="xdx_98C_ecustom--ShareBasedCompensationA"/>
            <w:bookmarkEnd w:id="545"/>
          </w:p>
        </w:tc>
        <w:tc>
          <w:tcPr>
            <w:tcW w:w="1540" w:type="dxa"/>
            <w:tcBorders>
              <w:bottom w:val="double" w:sz="6" w:space="0" w:color="000000"/>
            </w:tcBorders>
            <w:shd w:fill="FFFFFF" w:val="clear"/>
            <w:tcMar>
              <w:bottom w:w="28" w:type="dxa"/>
            </w:tcMar>
            <w:vAlign w:val="center"/>
          </w:tcPr>
          <w:p>
            <w:pPr>
              <w:pStyle w:val="TableContents"/>
              <w:bidi w:val="0"/>
              <w:spacing w:before="0" w:after="283"/>
              <w:jc w:val="right"/>
              <w:rPr/>
            </w:pPr>
            <w:r>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546" w:name="xdx_901_ecustom--RangeOfExercisePriceExe"/>
            <w:bookmarkEnd w:id="546"/>
            <w:r>
              <w:rPr>
                <w:rFonts w:ascii="Times New Roman;Times;Serif" w:hAnsi="Times New Roman;Times;Serif"/>
                <w:sz w:val="20"/>
              </w:rPr>
              <w:t>0.05 - $</w:t>
            </w:r>
            <w:bookmarkStart w:id="547" w:name="xdx_90E_ecustom--RangeOfExercisePriceExe"/>
            <w:bookmarkEnd w:id="547"/>
            <w:r>
              <w:rPr>
                <w:rFonts w:ascii="Times New Roman;Times;Serif" w:hAnsi="Times New Roman;Times;Serif"/>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48" w:name="xdx_90C_ecustom--ShareBasedCompensationA"/>
            <w:bookmarkEnd w:id="548"/>
            <w:r>
              <w:rPr/>
              <w:t>3.68</w:t>
            </w:r>
          </w:p>
        </w:tc>
        <w:tc>
          <w:tcPr>
            <w:tcW w:w="15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140"/>
        <w:gridCol w:w="23"/>
        <w:gridCol w:w="566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549" w:name="xdx_F07_zWPV3G7Rn1W"/>
            <w:bookmarkEnd w:id="549"/>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5660" w:type="dxa"/>
            <w:tcBorders/>
            <w:vAlign w:val="center"/>
          </w:tcPr>
          <w:p>
            <w:pPr>
              <w:pStyle w:val="TableContents"/>
              <w:bidi w:val="0"/>
              <w:spacing w:before="0" w:after="283"/>
              <w:jc w:val="both"/>
              <w:rPr>
                <w:rFonts w:ascii="Times New Roman;Times;Serif" w:hAnsi="Times New Roman;Times;Serif"/>
                <w:sz w:val="20"/>
              </w:rPr>
            </w:pPr>
            <w:bookmarkStart w:id="550" w:name="xdx_F1B_z2ZkacS1BwPe"/>
            <w:bookmarkEnd w:id="550"/>
            <w:r>
              <w:rPr>
                <w:rFonts w:ascii="Times New Roman;Times;Serif" w:hAnsi="Times New Roman;Times;Serif"/>
                <w:i/>
                <w:sz w:val="20"/>
              </w:rPr>
              <w:t xml:space="preserve">excludes </w:t>
            </w:r>
            <w:bookmarkStart w:id="551" w:name="xdx_90B_eus-gaap--ClassOfWarrantOrRightO"/>
            <w:bookmarkEnd w:id="551"/>
            <w:r>
              <w:rPr>
                <w:rFonts w:ascii="Times New Roman;Times;Serif" w:hAnsi="Times New Roman;Times;Serif"/>
                <w:i/>
                <w:sz w:val="20"/>
              </w:rPr>
              <w:t>51,199 pre-funded warrants which have no expiration date</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in liability classified warrants for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10198" w:type="dxa"/>
        <w:jc w:val="left"/>
        <w:tblInd w:w="0" w:type="dxa"/>
        <w:tblLayout w:type="fixed"/>
        <w:tblCellMar>
          <w:top w:w="0" w:type="dxa"/>
          <w:left w:w="0" w:type="dxa"/>
          <w:bottom w:w="0" w:type="dxa"/>
          <w:right w:w="0" w:type="dxa"/>
        </w:tblCellMar>
      </w:tblPr>
      <w:tblGrid>
        <w:gridCol w:w="3740"/>
        <w:gridCol w:w="60"/>
        <w:gridCol w:w="60"/>
        <w:gridCol w:w="755"/>
        <w:gridCol w:w="95"/>
        <w:gridCol w:w="60"/>
        <w:gridCol w:w="406"/>
        <w:gridCol w:w="1624"/>
        <w:gridCol w:w="60"/>
        <w:gridCol w:w="60"/>
        <w:gridCol w:w="192"/>
        <w:gridCol w:w="1657"/>
        <w:gridCol w:w="60"/>
        <w:gridCol w:w="60"/>
        <w:gridCol w:w="147"/>
        <w:gridCol w:w="1087"/>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32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Common Stock Warrants</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 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Total outstanding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2" w:name="xdx_98C_eus-gaap--ShareBasedCompensation"/>
            <w:bookmarkEnd w:id="552"/>
          </w:p>
        </w:tc>
        <w:tc>
          <w:tcPr>
            <w:tcW w:w="755" w:type="dxa"/>
            <w:tcBorders/>
            <w:shd w:fill="CCEEFF" w:val="clear"/>
            <w:vAlign w:val="center"/>
          </w:tcPr>
          <w:p>
            <w:pPr>
              <w:pStyle w:val="TableContents"/>
              <w:bidi w:val="0"/>
              <w:spacing w:before="0" w:after="283"/>
              <w:jc w:val="right"/>
              <w:rPr/>
            </w:pPr>
            <w:r>
              <w:rPr/>
              <w:t>9,113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bookmarkStart w:id="553" w:name="xdx_98A_ecustom--ShareBasedCompensationA"/>
            <w:bookmarkEnd w:id="553"/>
          </w:p>
        </w:tc>
        <w:tc>
          <w:tcPr>
            <w:tcW w:w="1624" w:type="dxa"/>
            <w:tcBorders/>
            <w:shd w:fill="CCEEFF" w:val="clear"/>
            <w:vAlign w:val="center"/>
          </w:tcPr>
          <w:p>
            <w:pPr>
              <w:pStyle w:val="TableContents"/>
              <w:bidi w:val="0"/>
              <w:spacing w:before="0" w:after="283"/>
              <w:jc w:val="right"/>
              <w:rPr/>
            </w:pPr>
            <w:r>
              <w:rPr/>
              <w:t>36.50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657" w:type="dxa"/>
            <w:tcBorders/>
            <w:shd w:fill="CCEEFF" w:val="clear"/>
            <w:vAlign w:val="center"/>
          </w:tcPr>
          <w:p>
            <w:pPr>
              <w:pStyle w:val="TableContents"/>
              <w:bidi w:val="0"/>
              <w:spacing w:before="0" w:after="283"/>
              <w:jc w:val="right"/>
              <w:rPr>
                <w:rFonts w:ascii="Times New Roman;Times;Serif" w:hAnsi="Times New Roman;Times;Serif"/>
                <w:sz w:val="20"/>
              </w:rPr>
            </w:pPr>
            <w:bookmarkStart w:id="554" w:name="xdx_90C_ecustom--RangeOfExercisePrice_iS"/>
            <w:bookmarkEnd w:id="554"/>
            <w:r>
              <w:rPr>
                <w:rFonts w:ascii="Times New Roman;Times;Serif" w:hAnsi="Times New Roman;Times;Serif"/>
                <w:sz w:val="20"/>
              </w:rPr>
              <w:t>36.50 - $</w:t>
            </w:r>
            <w:bookmarkStart w:id="555" w:name="xdx_90E_ecustom--RangeOfExercisePrice_iS"/>
            <w:bookmarkEnd w:id="555"/>
            <w:r>
              <w:rPr>
                <w:rFonts w:ascii="Times New Roman;Times;Serif" w:hAnsi="Times New Roman;Times;Serif"/>
                <w:sz w:val="20"/>
              </w:rPr>
              <w:t>36.50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556" w:name="xdx_90C_ecustom--ShareBasedCompensationA"/>
            <w:bookmarkEnd w:id="556"/>
            <w:r>
              <w:rPr/>
              <w:t>0.49</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57" w:name="xdx_98A_eus-gaap--ShareBasedCompensation"/>
            <w:bookmarkEnd w:id="557"/>
          </w:p>
        </w:tc>
        <w:tc>
          <w:tcPr>
            <w:tcW w:w="755" w:type="dxa"/>
            <w:tcBorders/>
            <w:shd w:fill="FFFFFF" w:val="clear"/>
            <w:vAlign w:val="center"/>
          </w:tcPr>
          <w:p>
            <w:pPr>
              <w:pStyle w:val="TableContents"/>
              <w:bidi w:val="0"/>
              <w:spacing w:before="0" w:after="283"/>
              <w:jc w:val="right"/>
              <w:rPr/>
            </w:pPr>
            <w:r>
              <w:rPr/>
              <w:t>52,474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w:t>
            </w:r>
            <w:bookmarkStart w:id="558" w:name="xdx_987_ecustom--ShareBasedCompensationA"/>
            <w:bookmarkEnd w:id="558"/>
          </w:p>
        </w:tc>
        <w:tc>
          <w:tcPr>
            <w:tcW w:w="1624" w:type="dxa"/>
            <w:tcBorders/>
            <w:shd w:fill="FFFFFF" w:val="clear"/>
            <w:vAlign w:val="center"/>
          </w:tcPr>
          <w:p>
            <w:pPr>
              <w:pStyle w:val="TableContents"/>
              <w:bidi w:val="0"/>
              <w:spacing w:before="0" w:after="283"/>
              <w:jc w:val="right"/>
              <w:rPr/>
            </w:pPr>
            <w:r>
              <w:rPr/>
              <w:t>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657" w:type="dxa"/>
            <w:tcBorders/>
            <w:shd w:fill="FFFFFF" w:val="clear"/>
            <w:vAlign w:val="center"/>
          </w:tcPr>
          <w:p>
            <w:pPr>
              <w:pStyle w:val="TableContents"/>
              <w:bidi w:val="0"/>
              <w:spacing w:before="0" w:after="283"/>
              <w:jc w:val="right"/>
              <w:rPr>
                <w:rFonts w:ascii="Times New Roman;Times;Serif" w:hAnsi="Times New Roman;Times;Serif"/>
                <w:sz w:val="20"/>
              </w:rPr>
            </w:pPr>
            <w:bookmarkStart w:id="559" w:name="xdx_909_ecustom--RangeOfExercisePriceGra"/>
            <w:bookmarkEnd w:id="559"/>
            <w:r>
              <w:rPr>
                <w:rFonts w:ascii="Times New Roman;Times;Serif" w:hAnsi="Times New Roman;Times;Serif"/>
                <w:sz w:val="20"/>
              </w:rPr>
              <w:t>6.50 - $</w:t>
            </w:r>
            <w:bookmarkStart w:id="560" w:name="xdx_906_ecustom--RangeOfExercisePriceGra"/>
            <w:bookmarkEnd w:id="560"/>
            <w:r>
              <w:rPr>
                <w:rFonts w:ascii="Times New Roman;Times;Serif" w:hAnsi="Times New Roman;Times;Serif"/>
                <w:sz w:val="20"/>
              </w:rPr>
              <w:t>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bookmarkStart w:id="561" w:name="xdx_901_ecustom--ShareBasedCompensationA"/>
            <w:bookmarkEnd w:id="561"/>
            <w:r>
              <w:rPr/>
              <w:t>4.16</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2" w:name="xdx_980_eus-gaap--ShareBasedCompensation"/>
            <w:bookmarkEnd w:id="562"/>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bookmarkStart w:id="563" w:name="xdx_987_ecustom--ShareBasedCompensationA"/>
            <w:bookmarkEnd w:id="563"/>
          </w:p>
        </w:tc>
        <w:tc>
          <w:tcPr>
            <w:tcW w:w="16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bookmarkStart w:id="564" w:name="xdx_903_ecustom--RangeOfExercisePriceExc"/>
            <w:bookmarkEnd w:id="56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Reclassified from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65" w:name="xdx_986_ecustom--ShareBasedCompensationA"/>
            <w:bookmarkEnd w:id="565"/>
          </w:p>
        </w:tc>
        <w:tc>
          <w:tcPr>
            <w:tcW w:w="755" w:type="dxa"/>
            <w:tcBorders/>
            <w:shd w:fill="FFFFFF" w:val="clear"/>
            <w:vAlign w:val="center"/>
          </w:tcPr>
          <w:p>
            <w:pPr>
              <w:pStyle w:val="TableContents"/>
              <w:bidi w:val="0"/>
              <w:spacing w:before="0" w:after="283"/>
              <w:jc w:val="right"/>
              <w:rPr/>
            </w:pPr>
            <w:r>
              <w:rPr/>
              <w:t>71,026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w:t>
            </w:r>
            <w:bookmarkStart w:id="566" w:name="xdx_984_ecustom--ShareBasedCompensationA"/>
            <w:bookmarkEnd w:id="566"/>
          </w:p>
        </w:tc>
        <w:tc>
          <w:tcPr>
            <w:tcW w:w="1624" w:type="dxa"/>
            <w:tcBorders/>
            <w:shd w:fill="FFFFFF" w:val="clear"/>
            <w:vAlign w:val="center"/>
          </w:tcPr>
          <w:p>
            <w:pPr>
              <w:pStyle w:val="TableContents"/>
              <w:bidi w:val="0"/>
              <w:spacing w:before="0" w:after="283"/>
              <w:jc w:val="right"/>
              <w:rPr/>
            </w:pPr>
            <w:r>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657" w:type="dxa"/>
            <w:tcBorders/>
            <w:shd w:fill="FFFFFF" w:val="clear"/>
            <w:vAlign w:val="center"/>
          </w:tcPr>
          <w:p>
            <w:pPr>
              <w:pStyle w:val="TableContents"/>
              <w:bidi w:val="0"/>
              <w:spacing w:before="0" w:after="283"/>
              <w:jc w:val="right"/>
              <w:rPr>
                <w:rFonts w:ascii="Times New Roman;Times;Serif" w:hAnsi="Times New Roman;Times;Serif"/>
                <w:sz w:val="20"/>
              </w:rPr>
            </w:pPr>
            <w:bookmarkStart w:id="567" w:name="xdx_909_ecustom--RangeOfExercisePriceRec"/>
            <w:bookmarkEnd w:id="567"/>
            <w:r>
              <w:rPr>
                <w:rFonts w:ascii="Times New Roman;Times;Serif" w:hAnsi="Times New Roman;Times;Serif"/>
                <w:sz w:val="20"/>
              </w:rPr>
              <w:t>0.05 - $</w:t>
            </w:r>
            <w:bookmarkStart w:id="568" w:name="xdx_906_ecustom--RangeOfExercisePriceRec"/>
            <w:bookmarkEnd w:id="568"/>
            <w:r>
              <w:rPr>
                <w:rFonts w:ascii="Times New Roman;Times;Serif" w:hAnsi="Times New Roman;Times;Serif"/>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Reclassified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9" w:name="xdx_987_ecustom--ShareBasedCompensationA"/>
            <w:bookmarkEnd w:id="569"/>
          </w:p>
        </w:tc>
        <w:tc>
          <w:tcPr>
            <w:tcW w:w="755" w:type="dxa"/>
            <w:tcBorders/>
            <w:shd w:fill="CCEEFF" w:val="clear"/>
            <w:vAlign w:val="center"/>
          </w:tcPr>
          <w:p>
            <w:pPr>
              <w:pStyle w:val="TableContents"/>
              <w:bidi w:val="0"/>
              <w:spacing w:before="0" w:after="283"/>
              <w:jc w:val="right"/>
              <w:rPr/>
            </w:pPr>
            <w:r>
              <w:rPr/>
              <w:t>(38,315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bookmarkStart w:id="570" w:name="xdx_98D_ecustom--ShareBasedCompensationA"/>
            <w:bookmarkEnd w:id="570"/>
          </w:p>
        </w:tc>
        <w:tc>
          <w:tcPr>
            <w:tcW w:w="1624"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657" w:type="dxa"/>
            <w:tcBorders/>
            <w:shd w:fill="CCEEFF" w:val="clear"/>
            <w:vAlign w:val="center"/>
          </w:tcPr>
          <w:p>
            <w:pPr>
              <w:pStyle w:val="TableContents"/>
              <w:bidi w:val="0"/>
              <w:spacing w:before="0" w:after="283"/>
              <w:jc w:val="right"/>
              <w:rPr>
                <w:rFonts w:ascii="Times New Roman;Times;Serif" w:hAnsi="Times New Roman;Times;Serif"/>
                <w:sz w:val="20"/>
              </w:rPr>
            </w:pPr>
            <w:bookmarkStart w:id="571" w:name="xdx_901_ecustom--RangeOfExercisePriceRec"/>
            <w:bookmarkEnd w:id="571"/>
            <w:r>
              <w:rPr>
                <w:rFonts w:ascii="Times New Roman;Times;Serif" w:hAnsi="Times New Roman;Times;Serif"/>
                <w:sz w:val="20"/>
              </w:rPr>
              <w:t>6.50 - $</w:t>
            </w:r>
            <w:bookmarkStart w:id="572" w:name="xdx_90D_ecustom--RangeOfExercisePriceRec"/>
            <w:bookmarkEnd w:id="572"/>
            <w:r>
              <w:rPr>
                <w:rFonts w:ascii="Times New Roman;Times;Serif" w:hAnsi="Times New Roman;Times;Serif"/>
                <w:sz w:val="20"/>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573" w:name="xdx_90C_ecustom--ShareBasedCompensationA"/>
            <w:bookmarkEnd w:id="573"/>
            <w:r>
              <w:rPr/>
              <w:t>4</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4" w:name="xdx_984_eus-gaap--ShareBasedCompensation"/>
            <w:bookmarkEnd w:id="574"/>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(25,586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75" w:name="xdx_98B_ecustom--ShareBasedCompensationA"/>
            <w:bookmarkEnd w:id="575"/>
          </w:p>
        </w:tc>
        <w:tc>
          <w:tcPr>
            <w:tcW w:w="1624" w:type="dxa"/>
            <w:tcBorders>
              <w:bottom w:val="single" w:sz="8" w:space="0" w:color="000000"/>
            </w:tcBorders>
            <w:shd w:fill="FFFFFF" w:val="clear"/>
            <w:tcMar>
              <w:bottom w:w="28" w:type="dxa"/>
            </w:tcMar>
            <w:vAlign w:val="center"/>
          </w:tcPr>
          <w:p>
            <w:pPr>
              <w:pStyle w:val="TableContents"/>
              <w:bidi w:val="0"/>
              <w:spacing w:before="0" w:after="283"/>
              <w:jc w:val="right"/>
              <w:rPr/>
            </w:pPr>
            <w:r>
              <w:rPr/>
              <w:t>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576" w:name="xdx_90D_ecustom--RangeOfExpiredPrice_pid"/>
            <w:bookmarkEnd w:id="576"/>
            <w:r>
              <w:rPr>
                <w:rFonts w:ascii="Times New Roman;Times;Serif" w:hAnsi="Times New Roman;Times;Serif"/>
                <w:sz w:val="20"/>
              </w:rPr>
              <w:t>13.00 - $</w:t>
            </w:r>
            <w:bookmarkStart w:id="577" w:name="xdx_903_ecustom--RangeOfExpiredPrice_pid"/>
            <w:bookmarkEnd w:id="577"/>
            <w:r>
              <w:rPr>
                <w:rFonts w:ascii="Times New Roman;Times;Serif" w:hAnsi="Times New Roman;Times;Serif"/>
                <w:sz w:val="20"/>
              </w:rPr>
              <w:t>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Total outstanding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8" w:name="xdx_985_eus-gaap--ShareBasedCompensation"/>
            <w:bookmarkEnd w:id="578"/>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68,712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9" w:name="xdx_98E_ecustom--ShareBasedCompensationA"/>
            <w:bookmarkEnd w:id="579"/>
          </w:p>
        </w:tc>
        <w:tc>
          <w:tcPr>
            <w:tcW w:w="1624" w:type="dxa"/>
            <w:tcBorders>
              <w:bottom w:val="double" w:sz="6" w:space="0" w:color="000000"/>
            </w:tcBorders>
            <w:shd w:fill="CCEEFF" w:val="clear"/>
            <w:tcMar>
              <w:bottom w:w="28" w:type="dxa"/>
            </w:tcM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580" w:name="xdx_908_ecustom--RangeOfExercisePrice_iE"/>
            <w:bookmarkEnd w:id="580"/>
            <w:r>
              <w:rPr>
                <w:rFonts w:ascii="Times New Roman;Times;Serif" w:hAnsi="Times New Roman;Times;Serif"/>
                <w:sz w:val="20"/>
              </w:rPr>
              <w:t>0.05 - $</w:t>
            </w:r>
            <w:bookmarkStart w:id="581" w:name="xdx_906_ecustom--RangeOfExercisePrice_iE"/>
            <w:bookmarkEnd w:id="581"/>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Exercisable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82" w:name="xdx_985_ecustom--ShareBasedCompensationA"/>
            <w:bookmarkEnd w:id="582"/>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52,693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83" w:name="xdx_988_ecustom--ShareBasedCompensationA"/>
            <w:bookmarkEnd w:id="583"/>
          </w:p>
        </w:tc>
        <w:tc>
          <w:tcPr>
            <w:tcW w:w="1624" w:type="dxa"/>
            <w:tcBorders>
              <w:bottom w:val="double" w:sz="6" w:space="0" w:color="000000"/>
            </w:tcBorders>
            <w:shd w:fill="FFFFFF" w:val="clear"/>
            <w:tcMar>
              <w:bottom w:w="28" w:type="dxa"/>
            </w:tcMar>
            <w:vAlign w:val="center"/>
          </w:tcPr>
          <w:p>
            <w:pPr>
              <w:pStyle w:val="TableContents"/>
              <w:bidi w:val="0"/>
              <w:spacing w:before="0" w:after="283"/>
              <w:jc w:val="right"/>
              <w:rPr/>
            </w:pPr>
            <w:r>
              <w:rPr/>
              <w:t>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584" w:name="xdx_903_ecustom--RangeOfExercisePriceExe"/>
            <w:bookmarkEnd w:id="584"/>
            <w:r>
              <w:rPr>
                <w:rFonts w:ascii="Times New Roman;Times;Serif" w:hAnsi="Times New Roman;Times;Serif"/>
                <w:sz w:val="20"/>
              </w:rPr>
              <w:t>0.05 - $</w:t>
            </w:r>
            <w:bookmarkStart w:id="585" w:name="xdx_90D_ecustom--RangeOfExercisePriceExe"/>
            <w:bookmarkEnd w:id="585"/>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6" w:name="xdx_8A2_ztqcPMx91wV9"/>
      <w:bookmarkEnd w:id="5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7" w:name="xdx_89F_eus-gaap--FairValueLiabilitiesMe"/>
      <w:bookmarkEnd w:id="587"/>
      <w:r>
        <w:rPr>
          <w:rFonts w:ascii="Times New Roman;Times;Serif" w:hAnsi="Times New Roman;Times;Serif"/>
          <w:b w:val="false"/>
          <w:i w:val="false"/>
          <w:caps w:val="false"/>
          <w:smallCaps w:val="false"/>
          <w:sz w:val="20"/>
        </w:rPr>
        <w:t>The following table presents the Company’s fair value hierarchy for its warrant liabilities measured at fair value on a recurring basis as of December 31, 2025:</w:t>
      </w:r>
    </w:p>
    <w:p>
      <w:pPr>
        <w:pStyle w:val="TextBody"/>
        <w:bidi w:val="0"/>
        <w:spacing w:before="0" w:after="0"/>
        <w:ind w:left="0" w:right="0" w:hanging="0"/>
        <w:jc w:val="both"/>
        <w:rPr>
          <w:caps w:val="false"/>
          <w:smallCaps w:val="false"/>
        </w:rPr>
      </w:pPr>
      <w:r>
        <w:rPr>
          <w:caps w:val="false"/>
          <w:smallCaps w:val="false"/>
        </w:rPr>
        <w:t> </w:t>
      </w:r>
      <w:bookmarkStart w:id="588" w:name="xdx_8BB_zzKQGD9WOOdf"/>
      <w:bookmarkEnd w:id="588"/>
      <w:r>
        <w:rPr>
          <w:rFonts w:ascii="Times New Roman;Times;Serif" w:hAnsi="Times New Roman;Times;Serif"/>
          <w:b w:val="false"/>
          <w:i w:val="false"/>
          <w:caps w:val="false"/>
          <w:smallCaps w:val="false"/>
          <w:sz w:val="20"/>
        </w:rPr>
        <w:t>SCHEDULE OF FAIR VALUE OF HIERARCHY FOR WARRANT LIABILITIES</w:t>
      </w:r>
    </w:p>
    <w:tbl>
      <w:tblPr>
        <w:tblW w:w="9819" w:type="dxa"/>
        <w:jc w:val="left"/>
        <w:tblInd w:w="0" w:type="dxa"/>
        <w:tblLayout w:type="fixed"/>
        <w:tblCellMar>
          <w:top w:w="0" w:type="dxa"/>
          <w:left w:w="0" w:type="dxa"/>
          <w:bottom w:w="0" w:type="dxa"/>
          <w:right w:w="0" w:type="dxa"/>
        </w:tblCellMar>
      </w:tblPr>
      <w:tblGrid>
        <w:gridCol w:w="4640"/>
        <w:gridCol w:w="60"/>
        <w:gridCol w:w="347"/>
        <w:gridCol w:w="647"/>
        <w:gridCol w:w="60"/>
        <w:gridCol w:w="60"/>
        <w:gridCol w:w="411"/>
        <w:gridCol w:w="764"/>
        <w:gridCol w:w="60"/>
        <w:gridCol w:w="60"/>
        <w:gridCol w:w="196"/>
        <w:gridCol w:w="1234"/>
        <w:gridCol w:w="95"/>
        <w:gridCol w:w="60"/>
        <w:gridCol w:w="140"/>
        <w:gridCol w:w="875"/>
        <w:gridCol w:w="110"/>
      </w:tblGrid>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89" w:name="xdx_498_20250101__20251231__us-gaap--Fai"/>
            <w:bookmarkEnd w:id="589"/>
          </w:p>
        </w:tc>
        <w:tc>
          <w:tcPr>
            <w:tcW w:w="994" w:type="dxa"/>
            <w:gridSpan w:val="2"/>
            <w:tcBorders/>
            <w:vAlign w:val="center"/>
          </w:tcPr>
          <w:p>
            <w:pPr>
              <w:pStyle w:val="TableContents"/>
              <w:bidi w:val="0"/>
              <w:spacing w:before="0" w:after="283"/>
              <w:jc w:val="center"/>
              <w:rPr>
                <w:b/>
              </w:rPr>
            </w:pPr>
            <w:r>
              <w:rPr>
                <w:b/>
              </w:rPr>
              <w:t>Quoted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0" w:name="xdx_495_20250101__20251231__us-gaap--Fai"/>
            <w:bookmarkEnd w:id="590"/>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1" w:name="xdx_496_20250101__20251231__us-gaap--Fai"/>
            <w:bookmarkEnd w:id="591"/>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2" w:name="xdx_49D_20250101__20251231_z0EE2EQ1qZ4"/>
            <w:bookmarkEnd w:id="592"/>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rPr>
            </w:pPr>
            <w:r>
              <w:rPr>
                <w:b/>
              </w:rPr>
              <w:t>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rPr>
            </w:pPr>
            <w:r>
              <w:rPr>
                <w:b/>
              </w:rPr>
              <w:t>Prices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Significant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rPr>
            </w:pPr>
            <w:r>
              <w:rPr>
                <w:b/>
              </w:rPr>
              <w:t>Identical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Unobservable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Inputs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40" w:type="dxa"/>
            <w:tcBorders>
              <w:bottom w:val="single" w:sz="8" w:space="0" w:color="000000"/>
            </w:tcBorders>
            <w:tcMar>
              <w:bottom w:w="28" w:type="dxa"/>
            </w:tcMar>
            <w:vAlign w:val="center"/>
          </w:tcPr>
          <w:p>
            <w:pPr>
              <w:pStyle w:val="TableContents"/>
              <w:bidi w:val="0"/>
              <w:spacing w:before="0" w:after="283"/>
              <w:jc w:val="center"/>
              <w:rPr>
                <w:b/>
              </w:rPr>
            </w:pPr>
            <w:r>
              <w:rPr>
                <w:b/>
              </w:rPr>
              <w:t>Common Stock Warrant Liabilities</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593" w:name="xdx_405_eus-gaap--FairValueMeasurementWi"/>
            <w:bookmarkEnd w:id="593"/>
          </w:p>
        </w:tc>
      </w:tr>
      <w:tr>
        <w:trPr/>
        <w:tc>
          <w:tcPr>
            <w:tcW w:w="4640"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269,175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269,175</w:t>
            </w:r>
          </w:p>
        </w:tc>
        <w:tc>
          <w:tcPr>
            <w:tcW w:w="110" w:type="dxa"/>
            <w:tcBorders/>
            <w:shd w:fill="CCEEFF" w:val="clear"/>
            <w:vAlign w:val="center"/>
          </w:tcPr>
          <w:p>
            <w:pPr>
              <w:pStyle w:val="TableContents"/>
              <w:bidi w:val="0"/>
              <w:spacing w:before="0" w:after="283"/>
              <w:jc w:val="left"/>
              <w:rPr/>
            </w:pPr>
            <w:r>
              <w:rPr/>
              <w:t> </w:t>
            </w:r>
            <w:bookmarkStart w:id="594" w:name="xdx_402_eus-gaap--FairValueMeasurementWi"/>
            <w:bookmarkEnd w:id="594"/>
          </w:p>
        </w:tc>
      </w:tr>
      <w:tr>
        <w:trPr/>
        <w:tc>
          <w:tcPr>
            <w:tcW w:w="46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95" w:name="xdx_40B_ecustom--FairValueMeasurementWit"/>
            <w:bookmarkEnd w:id="595"/>
          </w:p>
        </w:tc>
      </w:tr>
      <w:tr>
        <w:trPr/>
        <w:tc>
          <w:tcPr>
            <w:tcW w:w="464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96" w:name="xdx_40D_eus-gaap--FairValueMeasurementWi"/>
            <w:bookmarkEnd w:id="596"/>
          </w:p>
        </w:tc>
      </w:tr>
      <w:tr>
        <w:trPr/>
        <w:tc>
          <w:tcPr>
            <w:tcW w:w="4640" w:type="dxa"/>
            <w:tcBorders/>
            <w:shd w:fill="CCEEFF" w:val="clear"/>
            <w:vAlign w:val="center"/>
          </w:tcPr>
          <w:p>
            <w:pPr>
              <w:pStyle w:val="TableContents"/>
              <w:bidi w:val="0"/>
              <w:spacing w:before="0" w:after="283"/>
              <w:jc w:val="left"/>
              <w:rPr/>
            </w:pPr>
            <w:r>
              <w:rPr/>
              <w:t>Fair value of warrants reclassified from equity</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97" w:name="xdx_40A_eus-gaap--FairValueMeasurementWi"/>
            <w:bookmarkEnd w:id="597"/>
          </w:p>
        </w:tc>
      </w:tr>
      <w:tr>
        <w:trPr/>
        <w:tc>
          <w:tcPr>
            <w:tcW w:w="4640" w:type="dxa"/>
            <w:tcBorders/>
            <w:shd w:fill="CCEEFF" w:val="clear"/>
            <w:vAlign w:val="center"/>
          </w:tcPr>
          <w:p>
            <w:pPr>
              <w:pStyle w:val="TableContents"/>
              <w:bidi w:val="0"/>
              <w:spacing w:before="0" w:after="283"/>
              <w:jc w:val="left"/>
              <w:rPr/>
            </w:pPr>
            <w:r>
              <w:rPr/>
              <w:t>Fair value of warrants reclassified to equity</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98" w:name="xdx_404_eus-gaap--FairValueMeasurementWi"/>
            <w:bookmarkEnd w:id="598"/>
          </w:p>
        </w:tc>
      </w:tr>
      <w:tr>
        <w:trPr/>
        <w:tc>
          <w:tcPr>
            <w:tcW w:w="4640" w:type="dxa"/>
            <w:tcBorders/>
            <w:shd w:fill="FFFFFF" w:val="clear"/>
            <w:vAlign w:val="center"/>
          </w:tcPr>
          <w:p>
            <w:pPr>
              <w:pStyle w:val="TableContents"/>
              <w:bidi w:val="0"/>
              <w:spacing w:before="0" w:after="283"/>
              <w:jc w:val="left"/>
              <w:rPr/>
            </w:pPr>
            <w:r>
              <w:rPr/>
              <w:t>Loss on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(127,297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(127,297</w:t>
            </w:r>
          </w:p>
        </w:tc>
        <w:tc>
          <w:tcPr>
            <w:tcW w:w="110" w:type="dxa"/>
            <w:tcBorders/>
            <w:shd w:fill="FFFFFF" w:val="clear"/>
            <w:vAlign w:val="center"/>
          </w:tcPr>
          <w:p>
            <w:pPr>
              <w:pStyle w:val="TableContents"/>
              <w:bidi w:val="0"/>
              <w:spacing w:before="0" w:after="283"/>
              <w:jc w:val="left"/>
              <w:rPr/>
            </w:pPr>
            <w:r>
              <w:rPr/>
              <w:t>)</w:t>
            </w:r>
            <w:bookmarkStart w:id="599" w:name="xdx_402_eus-gaap--FairValueMeasurementWi"/>
            <w:bookmarkEnd w:id="599"/>
          </w:p>
        </w:tc>
      </w:tr>
      <w:tr>
        <w:trPr/>
        <w:tc>
          <w:tcPr>
            <w:tcW w:w="46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pPr>
            <w:r>
              <w:rPr/>
              <w:t>141,878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141,878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fair value hierarchy for its warrant liabilities measured at fair value on a recurring basis as of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6"/>
        <w:gridCol w:w="60"/>
        <w:gridCol w:w="347"/>
        <w:gridCol w:w="646"/>
        <w:gridCol w:w="60"/>
        <w:gridCol w:w="60"/>
        <w:gridCol w:w="411"/>
        <w:gridCol w:w="764"/>
        <w:gridCol w:w="60"/>
        <w:gridCol w:w="60"/>
        <w:gridCol w:w="196"/>
        <w:gridCol w:w="1234"/>
        <w:gridCol w:w="95"/>
        <w:gridCol w:w="60"/>
        <w:gridCol w:w="140"/>
        <w:gridCol w:w="875"/>
        <w:gridCol w:w="111"/>
      </w:tblGrid>
      <w:tr>
        <w:trPr/>
        <w:tc>
          <w:tcPr>
            <w:tcW w:w="50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00" w:name="xdx_496_20240101__20241231__us-gaap--Fai"/>
            <w:bookmarkEnd w:id="600"/>
          </w:p>
        </w:tc>
        <w:tc>
          <w:tcPr>
            <w:tcW w:w="993" w:type="dxa"/>
            <w:gridSpan w:val="2"/>
            <w:tcBorders/>
            <w:vAlign w:val="center"/>
          </w:tcPr>
          <w:p>
            <w:pPr>
              <w:pStyle w:val="TableContents"/>
              <w:bidi w:val="0"/>
              <w:spacing w:before="0" w:after="283"/>
              <w:jc w:val="center"/>
              <w:rPr>
                <w:b/>
              </w:rPr>
            </w:pPr>
            <w:r>
              <w:rPr>
                <w:b/>
              </w:rPr>
              <w:t>Quoted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1" w:name="xdx_49E_20240101__20241231__us-gaap--Fai"/>
            <w:bookmarkEnd w:id="601"/>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2" w:name="xdx_49E_20240101__20241231__us-gaap--Fai"/>
            <w:bookmarkEnd w:id="602"/>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3" w:name="xdx_499_20240101__20241231_zUgM5HaQaNnb"/>
            <w:bookmarkEnd w:id="603"/>
          </w:p>
        </w:tc>
        <w:tc>
          <w:tcPr>
            <w:tcW w:w="101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50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center"/>
              <w:rPr>
                <w:b/>
              </w:rPr>
            </w:pPr>
            <w:r>
              <w:rPr>
                <w:b/>
              </w:rPr>
              <w:t>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50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center"/>
              <w:rPr>
                <w:b/>
              </w:rPr>
            </w:pPr>
            <w:r>
              <w:rPr>
                <w:b/>
              </w:rPr>
              <w:t>Prices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Significant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50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center"/>
              <w:rPr>
                <w:b/>
              </w:rPr>
            </w:pPr>
            <w:r>
              <w:rPr>
                <w:b/>
              </w:rPr>
              <w:t>Identical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Unobservable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50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Inputs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5026" w:type="dxa"/>
            <w:tcBorders>
              <w:bottom w:val="single" w:sz="8" w:space="0" w:color="000000"/>
            </w:tcBorders>
            <w:tcMar>
              <w:bottom w:w="28" w:type="dxa"/>
            </w:tcMar>
            <w:vAlign w:val="center"/>
          </w:tcPr>
          <w:p>
            <w:pPr>
              <w:pStyle w:val="TableContents"/>
              <w:bidi w:val="0"/>
              <w:spacing w:before="0" w:after="283"/>
              <w:jc w:val="center"/>
              <w:rPr>
                <w:b/>
              </w:rPr>
            </w:pPr>
            <w:r>
              <w:rPr>
                <w:b/>
              </w:rPr>
              <w:t>Common Stock Warrant liabilities</w:t>
            </w:r>
          </w:p>
        </w:tc>
        <w:tc>
          <w:tcPr>
            <w:tcW w:w="6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bookmarkStart w:id="604" w:name="xdx_405_eus-gaap--FairValueMeasurementWi"/>
            <w:bookmarkEnd w:id="604"/>
          </w:p>
        </w:tc>
      </w:tr>
      <w:tr>
        <w:trPr/>
        <w:tc>
          <w:tcPr>
            <w:tcW w:w="5026"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54,600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54,600</w:t>
            </w:r>
          </w:p>
        </w:tc>
        <w:tc>
          <w:tcPr>
            <w:tcW w:w="111" w:type="dxa"/>
            <w:tcBorders/>
            <w:shd w:fill="CCEEFF" w:val="clear"/>
            <w:vAlign w:val="center"/>
          </w:tcPr>
          <w:p>
            <w:pPr>
              <w:pStyle w:val="TableContents"/>
              <w:bidi w:val="0"/>
              <w:spacing w:before="0" w:after="283"/>
              <w:jc w:val="left"/>
              <w:rPr/>
            </w:pPr>
            <w:r>
              <w:rPr/>
              <w:t> </w:t>
            </w:r>
            <w:bookmarkStart w:id="605" w:name="xdx_40D_eus-gaap--FairValueMeasurementWi"/>
            <w:bookmarkEnd w:id="605"/>
          </w:p>
        </w:tc>
      </w:tr>
      <w:tr>
        <w:trPr/>
        <w:tc>
          <w:tcPr>
            <w:tcW w:w="5026" w:type="dxa"/>
            <w:tcBorders/>
            <w:shd w:fill="CCEEFF" w:val="clear"/>
            <w:vAlign w:val="center"/>
          </w:tcPr>
          <w:p>
            <w:pPr>
              <w:pStyle w:val="TableContents"/>
              <w:bidi w:val="0"/>
              <w:spacing w:before="0" w:after="283"/>
              <w:jc w:val="left"/>
              <w:rPr/>
            </w:pPr>
            <w:r>
              <w:rPr/>
              <w:t>Common stock warrant liabilities, Beginning balance</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54,600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54,600</w:t>
            </w:r>
          </w:p>
        </w:tc>
        <w:tc>
          <w:tcPr>
            <w:tcW w:w="111" w:type="dxa"/>
            <w:tcBorders/>
            <w:shd w:fill="CCEEFF" w:val="clear"/>
            <w:vAlign w:val="center"/>
          </w:tcPr>
          <w:p>
            <w:pPr>
              <w:pStyle w:val="TableContents"/>
              <w:bidi w:val="0"/>
              <w:spacing w:before="0" w:after="283"/>
              <w:jc w:val="left"/>
              <w:rPr/>
            </w:pPr>
            <w:r>
              <w:rPr/>
              <w:t> </w:t>
            </w:r>
            <w:bookmarkStart w:id="606" w:name="xdx_402_eus-gaap--FairValueMeasurementWi"/>
            <w:bookmarkEnd w:id="606"/>
          </w:p>
        </w:tc>
      </w:tr>
      <w:tr>
        <w:trPr/>
        <w:tc>
          <w:tcPr>
            <w:tcW w:w="5026"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565,582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565,582</w:t>
            </w:r>
          </w:p>
        </w:tc>
        <w:tc>
          <w:tcPr>
            <w:tcW w:w="111" w:type="dxa"/>
            <w:tcBorders/>
            <w:shd w:fill="FFFFFF" w:val="clear"/>
            <w:vAlign w:val="center"/>
          </w:tcPr>
          <w:p>
            <w:pPr>
              <w:pStyle w:val="TableContents"/>
              <w:bidi w:val="0"/>
              <w:spacing w:before="0" w:after="283"/>
              <w:jc w:val="left"/>
              <w:rPr/>
            </w:pPr>
            <w:r>
              <w:rPr/>
              <w:t> </w:t>
            </w:r>
            <w:bookmarkStart w:id="607" w:name="xdx_40B_ecustom--FairValueMeasurementWit"/>
            <w:bookmarkEnd w:id="607"/>
          </w:p>
        </w:tc>
      </w:tr>
      <w:tr>
        <w:trPr/>
        <w:tc>
          <w:tcPr>
            <w:tcW w:w="5026"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608" w:name="xdx_402_eus-gaap--FairValueMeasurementWi"/>
            <w:bookmarkEnd w:id="608"/>
          </w:p>
        </w:tc>
      </w:tr>
      <w:tr>
        <w:trPr/>
        <w:tc>
          <w:tcPr>
            <w:tcW w:w="5026" w:type="dxa"/>
            <w:tcBorders/>
            <w:shd w:fill="FFFFFF" w:val="clear"/>
            <w:vAlign w:val="center"/>
          </w:tcPr>
          <w:p>
            <w:pPr>
              <w:pStyle w:val="TableContents"/>
              <w:bidi w:val="0"/>
              <w:spacing w:before="0" w:after="283"/>
              <w:jc w:val="left"/>
              <w:rPr/>
            </w:pPr>
            <w:r>
              <w:rPr/>
              <w:t>Fair value of warrants reclassified from equity</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262,259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262,259</w:t>
            </w:r>
          </w:p>
        </w:tc>
        <w:tc>
          <w:tcPr>
            <w:tcW w:w="111" w:type="dxa"/>
            <w:tcBorders/>
            <w:shd w:fill="FFFFFF" w:val="clear"/>
            <w:vAlign w:val="center"/>
          </w:tcPr>
          <w:p>
            <w:pPr>
              <w:pStyle w:val="TableContents"/>
              <w:bidi w:val="0"/>
              <w:spacing w:before="0" w:after="283"/>
              <w:jc w:val="left"/>
              <w:rPr/>
            </w:pPr>
            <w:r>
              <w:rPr/>
              <w:t> </w:t>
            </w:r>
            <w:bookmarkStart w:id="609" w:name="xdx_40D_eus-gaap--FairValueMeasurementWi"/>
            <w:bookmarkEnd w:id="609"/>
          </w:p>
        </w:tc>
      </w:tr>
      <w:tr>
        <w:trPr/>
        <w:tc>
          <w:tcPr>
            <w:tcW w:w="5026" w:type="dxa"/>
            <w:tcBorders/>
            <w:shd w:fill="CCEEFF" w:val="clear"/>
            <w:vAlign w:val="center"/>
          </w:tcPr>
          <w:p>
            <w:pPr>
              <w:pStyle w:val="TableContents"/>
              <w:bidi w:val="0"/>
              <w:spacing w:before="0" w:after="283"/>
              <w:jc w:val="left"/>
              <w:rPr/>
            </w:pPr>
            <w:r>
              <w:rPr/>
              <w:t>Fair value of warrants reclassified to equity</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(197,456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(197,456</w:t>
            </w:r>
          </w:p>
        </w:tc>
        <w:tc>
          <w:tcPr>
            <w:tcW w:w="111" w:type="dxa"/>
            <w:tcBorders/>
            <w:shd w:fill="CCEEFF" w:val="clear"/>
            <w:vAlign w:val="center"/>
          </w:tcPr>
          <w:p>
            <w:pPr>
              <w:pStyle w:val="TableContents"/>
              <w:bidi w:val="0"/>
              <w:spacing w:before="0" w:after="283"/>
              <w:jc w:val="left"/>
              <w:rPr/>
            </w:pPr>
            <w:r>
              <w:rPr/>
              <w:t>)</w:t>
            </w:r>
            <w:bookmarkStart w:id="610" w:name="xdx_404_eus-gaap--FairValueMeasurementWi"/>
            <w:bookmarkEnd w:id="610"/>
          </w:p>
        </w:tc>
      </w:tr>
      <w:tr>
        <w:trPr/>
        <w:tc>
          <w:tcPr>
            <w:tcW w:w="5026" w:type="dxa"/>
            <w:tcBorders/>
            <w:shd w:fill="FFFFFF" w:val="clear"/>
            <w:vAlign w:val="center"/>
          </w:tcPr>
          <w:p>
            <w:pPr>
              <w:pStyle w:val="TableContents"/>
              <w:bidi w:val="0"/>
              <w:spacing w:before="0" w:after="283"/>
              <w:jc w:val="left"/>
              <w:rPr/>
            </w:pPr>
            <w:r>
              <w:rPr/>
              <w:t>Gain on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(415,810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(415,810</w:t>
            </w:r>
          </w:p>
        </w:tc>
        <w:tc>
          <w:tcPr>
            <w:tcW w:w="111" w:type="dxa"/>
            <w:tcBorders/>
            <w:shd w:fill="FFFFFF" w:val="clear"/>
            <w:vAlign w:val="center"/>
          </w:tcPr>
          <w:p>
            <w:pPr>
              <w:pStyle w:val="TableContents"/>
              <w:bidi w:val="0"/>
              <w:spacing w:before="0" w:after="283"/>
              <w:jc w:val="left"/>
              <w:rPr/>
            </w:pPr>
            <w:r>
              <w:rPr/>
              <w:t>)</w:t>
            </w:r>
            <w:bookmarkStart w:id="611" w:name="xdx_402_eus-gaap--FairValueMeasurementWi"/>
            <w:bookmarkEnd w:id="611"/>
          </w:p>
        </w:tc>
      </w:tr>
      <w:tr>
        <w:trPr/>
        <w:tc>
          <w:tcPr>
            <w:tcW w:w="5026"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pPr>
            <w:r>
              <w:rPr/>
              <w:t>269,175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269,175</w:t>
            </w:r>
          </w:p>
        </w:tc>
        <w:tc>
          <w:tcPr>
            <w:tcW w:w="111" w:type="dxa"/>
            <w:tcBorders/>
            <w:shd w:fill="CCEEFF" w:val="clear"/>
            <w:vAlign w:val="center"/>
          </w:tcPr>
          <w:p>
            <w:pPr>
              <w:pStyle w:val="TableContents"/>
              <w:bidi w:val="0"/>
              <w:spacing w:before="0" w:after="283"/>
              <w:jc w:val="left"/>
              <w:rPr/>
            </w:pPr>
            <w:r>
              <w:rPr/>
              <w:t> </w:t>
            </w:r>
            <w:bookmarkStart w:id="612" w:name="xdx_40E_eus-gaap--FairValueMeasurementWi"/>
            <w:bookmarkEnd w:id="612"/>
          </w:p>
        </w:tc>
      </w:tr>
      <w:tr>
        <w:trPr/>
        <w:tc>
          <w:tcPr>
            <w:tcW w:w="5026" w:type="dxa"/>
            <w:tcBorders/>
            <w:shd w:fill="CCEEFF" w:val="clear"/>
            <w:vAlign w:val="center"/>
          </w:tcPr>
          <w:p>
            <w:pPr>
              <w:pStyle w:val="TableContents"/>
              <w:bidi w:val="0"/>
              <w:spacing w:before="0" w:after="283"/>
              <w:jc w:val="left"/>
              <w:rPr/>
            </w:pPr>
            <w:r>
              <w:rPr/>
              <w:t>Common stock warrant liabilities, Ending balance</w:t>
            </w:r>
          </w:p>
        </w:tc>
        <w:tc>
          <w:tcPr>
            <w:tcW w:w="60" w:type="dxa"/>
            <w:tcBorders/>
            <w:shd w:fill="CCEEFF" w:val="clear"/>
            <w:vAlign w:val="center"/>
          </w:tcPr>
          <w:p>
            <w:pPr>
              <w:pStyle w:val="TableContents"/>
              <w:bidi w:val="0"/>
              <w:spacing w:before="0" w:after="283"/>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pPr>
            <w:r>
              <w:rPr/>
              <w:t>269,175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269,175</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3" w:name="xdx_8A4_zL6YIguKvlbb"/>
      <w:bookmarkEnd w:id="6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warrants for </w:t>
      </w:r>
      <w:bookmarkStart w:id="614" w:name="xdx_90D_eus-gaap--ClassOfWarrantOrRightN"/>
      <w:bookmarkEnd w:id="614"/>
      <w:r>
        <w:rPr>
          <w:rFonts w:ascii="Times New Roman;Times;Serif" w:hAnsi="Times New Roman;Times;Serif"/>
          <w:b w:val="false"/>
          <w:i w:val="false"/>
          <w:caps w:val="false"/>
          <w:smallCaps w:val="false"/>
          <w:sz w:val="20"/>
        </w:rPr>
        <w:t>71,026 common shares with a weighted average exercise price of $</w:t>
      </w:r>
      <w:bookmarkStart w:id="615" w:name="xdx_901_eus-gaap--ClassOfWarrantOrRightE"/>
      <w:bookmarkEnd w:id="615"/>
      <w:r>
        <w:rPr>
          <w:rFonts w:ascii="Times New Roman;Times;Serif" w:hAnsi="Times New Roman;Times;Serif"/>
          <w:b w:val="false"/>
          <w:i w:val="false"/>
          <w:caps w:val="false"/>
          <w:smallCaps w:val="false"/>
          <w:sz w:val="20"/>
        </w:rPr>
        <w:t>2.14 and a fair value of $</w:t>
      </w:r>
      <w:bookmarkStart w:id="616" w:name="xdx_904_eus-gaap--FairValueMeasurementWi"/>
      <w:bookmarkEnd w:id="616"/>
      <w:r>
        <w:rPr>
          <w:rFonts w:ascii="Times New Roman;Times;Serif" w:hAnsi="Times New Roman;Times;Serif"/>
          <w:b w:val="false"/>
          <w:i w:val="false"/>
          <w:caps w:val="false"/>
          <w:smallCaps w:val="false"/>
          <w:sz w:val="20"/>
        </w:rPr>
        <w:t xml:space="preserve">262,259 were reclassified from equity to liabilities, and warrants for </w:t>
      </w:r>
      <w:bookmarkStart w:id="617" w:name="xdx_90B_eus-gaap--ClassOfWarrantOrRightN"/>
      <w:bookmarkEnd w:id="617"/>
      <w:r>
        <w:rPr>
          <w:rFonts w:ascii="Times New Roman;Times;Serif" w:hAnsi="Times New Roman;Times;Serif"/>
          <w:b w:val="false"/>
          <w:i w:val="false"/>
          <w:caps w:val="false"/>
          <w:smallCaps w:val="false"/>
          <w:sz w:val="20"/>
        </w:rPr>
        <w:t>38,315 common shares with a weighted average exercise price of $</w:t>
      </w:r>
      <w:bookmarkStart w:id="618" w:name="xdx_907_eus-gaap--ClassOfWarrantOrRightE"/>
      <w:bookmarkEnd w:id="618"/>
      <w:r>
        <w:rPr>
          <w:rFonts w:ascii="Times New Roman;Times;Serif" w:hAnsi="Times New Roman;Times;Serif"/>
          <w:b w:val="false"/>
          <w:i w:val="false"/>
          <w:caps w:val="false"/>
          <w:smallCaps w:val="false"/>
          <w:sz w:val="20"/>
        </w:rPr>
        <w:t>6.50 and a fair value of $</w:t>
      </w:r>
      <w:bookmarkStart w:id="619" w:name="xdx_907_eus-gaap--FairValueMeasurementWi"/>
      <w:bookmarkEnd w:id="619"/>
      <w:r>
        <w:rPr>
          <w:rFonts w:ascii="Times New Roman;Times;Serif" w:hAnsi="Times New Roman;Times;Serif"/>
          <w:b w:val="false"/>
          <w:i w:val="false"/>
          <w:caps w:val="false"/>
          <w:smallCaps w:val="false"/>
          <w:sz w:val="20"/>
        </w:rPr>
        <w:t>197,456 were reclassified from liabilities to equity. There were no transfers of financial assets or liabilities between category levels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warrant liabilities was based on valuations internally generated Black Scholes valuations. Due to the nominal exercise price of the 2024 Pre-Funded Warrants and indefinite term, the Company calculated an implied value of the 2024 Pre-Funded Warrants based on the underlying common stock price on the valuation date, less the exercise price. For volatility, the Company considers comparable public companies as a basis for its expected volatility to calculate the fair value of common stock warrants and transitions to its own volatility as the Company develops sufficient appropriate history as a public company. The risk-free interest rate is based on U.S. Treasury notes with a term approximating the expected term of the common stock warrant. The Company uses an expected dividend yield of zero based on the fact that the Company has never paid cash dividends and does not expect to pay cash dividends in the foreseeable future. Any significant changes in the inputs may result in significantly higher or lower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0" w:name="xdx_89A_eus-gaap--FairValueAssetsMeasure"/>
      <w:bookmarkEnd w:id="620"/>
      <w:r>
        <w:rPr>
          <w:rFonts w:ascii="Times New Roman;Times;Serif" w:hAnsi="Times New Roman;Times;Serif"/>
          <w:b w:val="false"/>
          <w:i w:val="false"/>
          <w:caps w:val="false"/>
          <w:smallCaps w:val="false"/>
          <w:sz w:val="20"/>
        </w:rPr>
        <w:t>The following are the weighted average and the range of assumptions used in estimating the fair value of warrant liabilities (weighted average calculated based on the number of outstanding warrants on each issuance) as of December 31, 2025 and 2024:</w:t>
      </w:r>
    </w:p>
    <w:p>
      <w:pPr>
        <w:pStyle w:val="TextBody"/>
        <w:bidi w:val="0"/>
        <w:spacing w:before="0" w:after="0"/>
        <w:ind w:left="0" w:right="0" w:hanging="0"/>
        <w:jc w:val="both"/>
        <w:rPr>
          <w:caps w:val="false"/>
          <w:smallCaps w:val="false"/>
        </w:rPr>
      </w:pPr>
      <w:r>
        <w:rPr>
          <w:caps w:val="false"/>
          <w:smallCaps w:val="false"/>
        </w:rPr>
        <w:t> </w:t>
      </w:r>
      <w:bookmarkStart w:id="621" w:name="xdx_8B7_zXDydT47IGLf"/>
      <w:bookmarkEnd w:id="621"/>
      <w:r>
        <w:rPr>
          <w:rFonts w:ascii="Times New Roman;Times;Serif" w:hAnsi="Times New Roman;Times;Serif"/>
          <w:b w:val="false"/>
          <w:i w:val="false"/>
          <w:caps w:val="false"/>
          <w:smallCaps w:val="false"/>
          <w:sz w:val="20"/>
        </w:rPr>
        <w:t>SCHEDULE OF ASSUMPTIONS OF WARRANT LIABILITIES</w:t>
      </w:r>
    </w:p>
    <w:tbl>
      <w:tblPr>
        <w:tblW w:w="9939" w:type="dxa"/>
        <w:jc w:val="left"/>
        <w:tblInd w:w="0" w:type="dxa"/>
        <w:tblLayout w:type="fixed"/>
        <w:tblCellMar>
          <w:top w:w="0" w:type="dxa"/>
          <w:left w:w="0" w:type="dxa"/>
          <w:bottom w:w="0" w:type="dxa"/>
          <w:right w:w="0" w:type="dxa"/>
        </w:tblCellMar>
      </w:tblPr>
      <w:tblGrid>
        <w:gridCol w:w="3035"/>
        <w:gridCol w:w="60"/>
        <w:gridCol w:w="75"/>
        <w:gridCol w:w="607"/>
        <w:gridCol w:w="269"/>
        <w:gridCol w:w="75"/>
        <w:gridCol w:w="144"/>
        <w:gridCol w:w="1660"/>
        <w:gridCol w:w="215"/>
        <w:gridCol w:w="60"/>
        <w:gridCol w:w="60"/>
        <w:gridCol w:w="1370"/>
        <w:gridCol w:w="215"/>
        <w:gridCol w:w="60"/>
        <w:gridCol w:w="173"/>
        <w:gridCol w:w="1631"/>
        <w:gridCol w:w="230"/>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2" w:type="dxa"/>
            <w:gridSpan w:val="2"/>
            <w:tcBorders>
              <w:bottom w:val="single" w:sz="8" w:space="0" w:color="000000"/>
            </w:tcBorders>
            <w:tcMar>
              <w:bottom w:w="28" w:type="dxa"/>
            </w:tcMar>
            <w:vAlign w:val="center"/>
          </w:tcPr>
          <w:p>
            <w:pPr>
              <w:pStyle w:val="TableContents"/>
              <w:bidi w:val="0"/>
              <w:spacing w:before="0" w:after="283"/>
              <w:jc w:val="right"/>
              <w:rPr/>
            </w:pPr>
            <w:r>
              <w:rPr/>
              <w:t>Range</w:t>
            </w:r>
          </w:p>
        </w:tc>
        <w:tc>
          <w:tcPr>
            <w:tcW w:w="2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right"/>
              <w:rPr/>
            </w:pPr>
            <w:r>
              <w:rPr/>
              <w:t>Weighted Average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right"/>
              <w:rPr/>
            </w:pPr>
            <w:r>
              <w:rPr/>
              <w:t>Range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right"/>
              <w:rPr/>
            </w:pPr>
            <w:r>
              <w:rPr/>
              <w:t>Weighted Average</w:t>
            </w:r>
          </w:p>
        </w:tc>
        <w:tc>
          <w:tcPr>
            <w:tcW w:w="23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rFonts w:ascii="Times New Roman;Times;Serif" w:hAnsi="Times New Roman;Times;Serif"/>
                <w:sz w:val="20"/>
              </w:rPr>
            </w:pPr>
            <w:bookmarkStart w:id="622" w:name="xdx_901_eus-gaap--WarrantsAndRightsOutst"/>
            <w:bookmarkEnd w:id="622"/>
            <w:r>
              <w:rPr>
                <w:rFonts w:ascii="Times New Roman;Times;Serif" w:hAnsi="Times New Roman;Times;Serif"/>
                <w:sz w:val="20"/>
              </w:rPr>
              <w:t>3.64</w:t>
            </w:r>
          </w:p>
        </w:tc>
        <w:tc>
          <w:tcPr>
            <w:tcW w:w="269"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bookmarkStart w:id="623" w:name="xdx_906_eus-gaap--WarrantsAndRightsOutst"/>
            <w:bookmarkEnd w:id="623"/>
            <w:r>
              <w:rPr/>
              <w:t>3.64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sz w:val="20"/>
              </w:rPr>
            </w:pPr>
            <w:bookmarkStart w:id="624" w:name="xdx_902_eus-gaap--WarrantsAndRightsOutst"/>
            <w:bookmarkEnd w:id="624"/>
            <w:r>
              <w:rPr>
                <w:rFonts w:ascii="Times New Roman;Times;Serif" w:hAnsi="Times New Roman;Times;Serif"/>
                <w:sz w:val="20"/>
              </w:rPr>
              <w:t xml:space="preserve">4.24% - </w:t>
            </w:r>
            <w:bookmarkStart w:id="625" w:name="xdx_900_eus-gaap--WarrantsAndRightsOutst"/>
            <w:bookmarkEnd w:id="625"/>
            <w:r>
              <w:rPr>
                <w:rFonts w:ascii="Times New Roman;Times;Serif" w:hAnsi="Times New Roman;Times;Serif"/>
                <w:sz w:val="20"/>
              </w:rPr>
              <w:t>4.38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bookmarkStart w:id="626" w:name="xdx_905_eus-gaap--WarrantsAndRightsOutst"/>
            <w:bookmarkEnd w:id="626"/>
            <w:r>
              <w:rPr/>
              <w:t>4.37</w:t>
            </w:r>
          </w:p>
        </w:tc>
        <w:tc>
          <w:tcPr>
            <w:tcW w:w="23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Expected volatility (peer group)</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sz w:val="20"/>
              </w:rPr>
            </w:pPr>
            <w:bookmarkStart w:id="627" w:name="xdx_902_eus-gaap--WarrantsAndRightsOutst"/>
            <w:bookmarkEnd w:id="627"/>
            <w:r>
              <w:rPr>
                <w:rFonts w:ascii="Times New Roman;Times;Serif" w:hAnsi="Times New Roman;Times;Serif"/>
                <w:sz w:val="20"/>
              </w:rPr>
              <w:t>130.0</w:t>
            </w:r>
          </w:p>
        </w:tc>
        <w:tc>
          <w:tcPr>
            <w:tcW w:w="26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bookmarkStart w:id="628" w:name="xdx_90A_eus-gaap--WarrantsAndRightsOutst"/>
            <w:bookmarkEnd w:id="628"/>
            <w:r>
              <w:rPr/>
              <w:t>130.00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sz w:val="20"/>
              </w:rPr>
            </w:pPr>
            <w:bookmarkStart w:id="629" w:name="xdx_908_eus-gaap--WarrantsAndRightsOutst"/>
            <w:bookmarkEnd w:id="629"/>
            <w:r>
              <w:rPr>
                <w:rFonts w:ascii="Times New Roman;Times;Serif" w:hAnsi="Times New Roman;Times;Serif"/>
                <w:sz w:val="20"/>
              </w:rPr>
              <w:t xml:space="preserve">117.5% - </w:t>
            </w:r>
            <w:bookmarkStart w:id="630" w:name="xdx_908_eus-gaap--WarrantsAndRightsOutst"/>
            <w:bookmarkEnd w:id="630"/>
            <w:r>
              <w:rPr>
                <w:rFonts w:ascii="Times New Roman;Times;Serif" w:hAnsi="Times New Roman;Times;Serif"/>
                <w:sz w:val="20"/>
              </w:rPr>
              <w:t>133.50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bookmarkStart w:id="631" w:name="xdx_907_eus-gaap--WarrantsAndRightsOutst"/>
            <w:bookmarkEnd w:id="631"/>
            <w:r>
              <w:rPr/>
              <w:t>133.5</w:t>
            </w:r>
          </w:p>
        </w:tc>
        <w:tc>
          <w:tcPr>
            <w:tcW w:w="23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Term of warrants (years)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bookmarkStart w:id="632" w:name="xdx_902_eus-gaap--WarrantsAndRightsOutst"/>
            <w:bookmarkEnd w:id="632"/>
            <w:r>
              <w:rPr>
                <w:rFonts w:ascii="Times New Roman;Times;Serif" w:hAnsi="Times New Roman;Times;Serif"/>
                <w:sz w:val="20"/>
              </w:rPr>
              <w:t>3.68</w:t>
            </w:r>
            <w:r>
              <w:rPr/>
              <w:t xml:space="preserve"> </w:t>
            </w:r>
          </w:p>
        </w:tc>
        <w:tc>
          <w:tcPr>
            <w:tcW w:w="2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bookmarkStart w:id="633" w:name="xdx_908_eus-gaap--WarrantsAndRightsOutst"/>
            <w:bookmarkEnd w:id="633"/>
            <w:r>
              <w:rPr/>
              <w:t>3.68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sz w:val="20"/>
              </w:rPr>
            </w:pPr>
            <w:bookmarkStart w:id="634" w:name="xdx_907_eus-gaap--WarrantsAndRightsOutst"/>
            <w:bookmarkEnd w:id="634"/>
            <w:r>
              <w:rPr>
                <w:rFonts w:ascii="Times New Roman;Times;Serif" w:hAnsi="Times New Roman;Times;Serif"/>
                <w:sz w:val="20"/>
              </w:rPr>
              <w:t xml:space="preserve">0.4 - </w:t>
            </w:r>
            <w:bookmarkStart w:id="635" w:name="xdx_90E_eus-gaap--WarrantsAndRightsOutst"/>
            <w:bookmarkEnd w:id="635"/>
            <w:r>
              <w:rPr>
                <w:rFonts w:ascii="Times New Roman;Times;Serif" w:hAnsi="Times New Roman;Times;Serif"/>
                <w:sz w:val="20"/>
              </w:rPr>
              <w:t>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bookmarkStart w:id="636" w:name="xdx_90E_eus-gaap--WarrantsAndRightsOutst"/>
            <w:bookmarkEnd w:id="636"/>
            <w:r>
              <w:rPr/>
              <w:t>4.20</w:t>
            </w:r>
          </w:p>
        </w:tc>
        <w:tc>
          <w:tcPr>
            <w:tcW w:w="23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bookmarkStart w:id="637" w:name="xdx_90C_eus-gaap--WarrantsAndRightsOutst"/>
            <w:bookmarkEnd w:id="637"/>
            <w:r>
              <w:rPr/>
              <w:t>0.00</w:t>
            </w:r>
          </w:p>
        </w:tc>
        <w:tc>
          <w:tcPr>
            <w:tcW w:w="26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bookmarkStart w:id="638" w:name="xdx_90E_eus-gaap--WarrantsAndRightsOutst"/>
            <w:bookmarkEnd w:id="638"/>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bookmarkStart w:id="639" w:name="xdx_90D_eus-gaap--WarrantsAndRightsOutst"/>
            <w:bookmarkEnd w:id="639"/>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bookmarkStart w:id="640" w:name="xdx_90B_eus-gaap--WarrantsAndRightsOutst"/>
            <w:bookmarkEnd w:id="640"/>
            <w:r>
              <w:rPr/>
              <w:t>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41" w:name="xdx_8A2_zp9LWA4YSeUj"/>
      <w:bookmarkEnd w:id="6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2" w:name="xdx_80E_eus-gaap--DebtDisclosureTextBloc"/>
      <w:bookmarkEnd w:id="642"/>
      <w:r>
        <w:rPr>
          <w:rFonts w:ascii="Times New Roman;Times;Serif" w:hAnsi="Times New Roman;Times;Serif"/>
          <w:b/>
          <w:i w:val="false"/>
          <w:caps w:val="false"/>
          <w:smallCaps w:val="false"/>
          <w:sz w:val="20"/>
        </w:rPr>
        <w:t xml:space="preserve">NOTE 10 — </w:t>
      </w:r>
      <w:bookmarkStart w:id="643" w:name="xdx_825_zie6s5qPACS5"/>
      <w:bookmarkEnd w:id="643"/>
      <w:r>
        <w:rPr>
          <w:rFonts w:ascii="Times New Roman;Times;Serif" w:hAnsi="Times New Roman;Times;Serif"/>
          <w:b/>
          <w:i w:val="false"/>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Convertible Debenture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2022, the Company issued to Alpha an </w:t>
      </w:r>
      <w:bookmarkStart w:id="644" w:name="xdx_903_eus-gaap--ShortTermDebtInterestR"/>
      <w:bookmarkEnd w:id="644"/>
      <w:r>
        <w:rPr>
          <w:rFonts w:ascii="Times New Roman;Times;Serif" w:hAnsi="Times New Roman;Times;Serif"/>
          <w:b w:val="false"/>
          <w:i w:val="false"/>
          <w:caps w:val="false"/>
          <w:smallCaps w:val="false"/>
          <w:sz w:val="20"/>
        </w:rPr>
        <w:t>8% Senior Convertible Debenture in the aggregate principal amount of $</w:t>
      </w:r>
      <w:bookmarkStart w:id="645" w:name="xdx_908_eus-gaap--SecuredDebt_iI_c202212"/>
      <w:bookmarkEnd w:id="645"/>
      <w:r>
        <w:rPr>
          <w:rFonts w:ascii="Times New Roman;Times;Serif" w:hAnsi="Times New Roman;Times;Serif"/>
          <w:b w:val="false"/>
          <w:i w:val="false"/>
          <w:caps w:val="false"/>
          <w:smallCaps w:val="false"/>
          <w:sz w:val="20"/>
        </w:rPr>
        <w:t>3,300,000 (the “2022 Debenture”) for a purchase price of $</w:t>
      </w:r>
      <w:bookmarkStart w:id="646" w:name="xdx_907_ecustom--PurchasePrice_iI_c20221"/>
      <w:bookmarkEnd w:id="646"/>
      <w:r>
        <w:rPr>
          <w:rFonts w:ascii="Times New Roman;Times;Serif" w:hAnsi="Times New Roman;Times;Serif"/>
          <w:b w:val="false"/>
          <w:i w:val="false"/>
          <w:caps w:val="false"/>
          <w:smallCaps w:val="false"/>
          <w:sz w:val="20"/>
        </w:rPr>
        <w:t xml:space="preserve">3,000,000 pursuant to the terms of a Securities Purchase Agreement, dated December 21, 2022 (the “2022 Securities Purchase Agreement”). The 2022 Debenture carried a maturity date of </w:t>
      </w:r>
      <w:bookmarkStart w:id="647" w:name="xdx_90E_eus-gaap--DebtInstrumentMaturity"/>
      <w:bookmarkEnd w:id="647"/>
      <w:r>
        <w:rPr>
          <w:rFonts w:ascii="Times New Roman;Times;Serif" w:hAnsi="Times New Roman;Times;Serif"/>
          <w:b w:val="false"/>
          <w:i w:val="false"/>
          <w:caps w:val="false"/>
          <w:smallCaps w:val="false"/>
          <w:sz w:val="20"/>
        </w:rPr>
        <w:t>December 22, 2025 and was convertible, at any time, at Alpha’s option, into shares of the Company’s common stock (the “Conversion Shares”), at a price initially equal to $</w:t>
      </w:r>
      <w:bookmarkStart w:id="648" w:name="xdx_908_eus-gaap--DebtInstrumentConverti"/>
      <w:bookmarkEnd w:id="648"/>
      <w:r>
        <w:rPr>
          <w:rFonts w:ascii="Times New Roman;Times;Serif" w:hAnsi="Times New Roman;Times;Serif"/>
          <w:b w:val="false"/>
          <w:i w:val="false"/>
          <w:caps w:val="false"/>
          <w:smallCaps w:val="false"/>
          <w:sz w:val="20"/>
        </w:rPr>
        <w:t xml:space="preserve">66.00 per share, subject to adjustment as described in the 2022 Debenture. On July 13, 2023, the Company obtained stockholder approval, for purposes of complying with Nasdaq Listing Rule 5635(d), to allow for the issuance to Alpha of more than </w:t>
      </w:r>
      <w:bookmarkStart w:id="649" w:name="xdx_904_ecustom--PercentageOfStockIssued"/>
      <w:bookmarkEnd w:id="649"/>
      <w:r>
        <w:rPr>
          <w:rFonts w:ascii="Times New Roman;Times;Serif" w:hAnsi="Times New Roman;Times;Serif"/>
          <w:b w:val="false"/>
          <w:i w:val="false"/>
          <w:caps w:val="false"/>
          <w:smallCaps w:val="false"/>
          <w:sz w:val="20"/>
        </w:rPr>
        <w:t>20% of our issued and outstanding shares of common stock pursuant to the terms and conditions of the 2022 Debenture, and the common stock purchase warrant dated December 22, 2022 (the “2022 Warrant”) issued by us to Alpha.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June 1, 2023, the Company was required to redeem $</w:t>
      </w:r>
      <w:bookmarkStart w:id="650" w:name="xdx_90E_eus-gaap--RepaymentsOfLongTermDe"/>
      <w:bookmarkEnd w:id="650"/>
      <w:r>
        <w:rPr>
          <w:rFonts w:ascii="Times New Roman;Times;Serif" w:hAnsi="Times New Roman;Times;Serif"/>
          <w:b w:val="false"/>
          <w:i w:val="false"/>
          <w:caps w:val="false"/>
          <w:smallCaps w:val="false"/>
          <w:sz w:val="20"/>
        </w:rPr>
        <w:t xml:space="preserve">110,000 monthly, plus accrued and unpaid interest in cash, or, subject to the Equity Conditions (as defined in the 2022 Debenture) having been satisfied or waived, in shares of our common stock, based on a conversion price equal to the lesser of (i) the then-effective conversion price of the 2022 Debenture and (ii) </w:t>
      </w:r>
      <w:bookmarkStart w:id="651" w:name="xdx_90F_eus-gaap--DebtInstrumentConverti"/>
      <w:bookmarkEnd w:id="651"/>
      <w:r>
        <w:rPr>
          <w:rFonts w:ascii="Times New Roman;Times;Serif" w:hAnsi="Times New Roman;Times;Serif"/>
          <w:b w:val="false"/>
          <w:i w:val="false"/>
          <w:caps w:val="false"/>
          <w:smallCaps w:val="false"/>
          <w:sz w:val="20"/>
        </w:rPr>
        <w:t xml:space="preserve">85% of the average of the VWAPs (as defined in the 2022 Debenture) for the five consecutive trading days ending on the trading day immediately before the applicable monthly redemption date. The 2022 Debenture accrued interest at the rate of </w:t>
      </w:r>
      <w:bookmarkStart w:id="652" w:name="xdx_907_eus-gaap--DebtInstrumentInterest"/>
      <w:bookmarkEnd w:id="652"/>
      <w:r>
        <w:rPr>
          <w:rFonts w:ascii="Times New Roman;Times;Serif" w:hAnsi="Times New Roman;Times;Serif"/>
          <w:b w:val="false"/>
          <w:i w:val="false"/>
          <w:caps w:val="false"/>
          <w:smallCaps w:val="false"/>
          <w:sz w:val="20"/>
        </w:rPr>
        <w:t>8% per annum beginning on December 1, 2023, and was payable on a monthly or quarterly basis in cash or, subject to the Equity Conditions having been satisfied or waived, shares or a combination thereof at our option.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pursuant to the terms of the 2022 Securities Purchase Agreement, we entered into a registration rights agreement with Alpha (the “Registration Rights Agreement”), pursuant to which we agreed to file one or more registration statements, as necessary, and to the extent permissible, to register under the Securities Act the resale of the remaining shares (underlying the 2022 Debenture and the 2022 Warrant) not otherwise registered under the Company’s registration statement on Form S-3 (File No. 333-266430). We filed a resale registration statement on Form S-3 pursuant to the requirements of the Registration Rights Agreement on December 2022 (File Number 333-269088), which registration statement was declared effective by the SEC on January 5, 2023. On September 1, 2023, we filed a Post-Effective Amendment No. 1 to Form S-3 on Form S-1 (File No. 333-269088), which Post-Effective Amendment was declared effective by the SEC on September 7, 2023. On May 1, 2024, we filed a Post-Effective Amendment No. 2 to Form S-1 on Form S-3 (File No. 333-269088), which Post-Effective Amendment was declared effective by the SEC on May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2022 Debenture and the 2022 Warrant and determined that the 2022 Warrant is a freestanding financial instrument. Initially, the 2022 Warrant is not considered indexed to the Company’s own stock, because the settlement amount would not equal the difference between the fair value of a fixed number of the Company’s equity shares and a fixed strike price and all of the adjustment features in Section 3(b) of the Alpha Warrant are not down round provisions, as defined in ASU 2017-11. Accordingly, the 2022 Warrant was classified as a liability and recognized at fair value, with subsequent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470-50, the Company determined that the modified terms of the 2022 Debenture were substantially different when compared to the original terms that existed prior to the SPA Amendment, and thus the event was required to be accounted for as a debt extinguishment. Accordingly, the Company derecognized the net carrying value of the original Debenture, and recorded the new debt instrument at its fair value of $</w:t>
      </w:r>
      <w:bookmarkStart w:id="653" w:name="xdx_90A_eus-gaap--DebtInstrumentFairValu"/>
      <w:bookmarkEnd w:id="653"/>
      <w:r>
        <w:rPr>
          <w:rFonts w:ascii="Times New Roman;Times;Serif" w:hAnsi="Times New Roman;Times;Serif"/>
          <w:b w:val="false"/>
          <w:i w:val="false"/>
          <w:caps w:val="false"/>
          <w:smallCaps w:val="false"/>
          <w:sz w:val="20"/>
        </w:rPr>
        <w:t>1.4 million, and recorded a $</w:t>
      </w:r>
      <w:bookmarkStart w:id="654" w:name="xdx_907_eus-gaap--GainsLossesOnExtinguis"/>
      <w:bookmarkEnd w:id="654"/>
      <w:r>
        <w:rPr>
          <w:rFonts w:ascii="Times New Roman;Times;Serif" w:hAnsi="Times New Roman;Times;Serif"/>
          <w:b w:val="false"/>
          <w:i w:val="false"/>
          <w:caps w:val="false"/>
          <w:smallCaps w:val="false"/>
          <w:sz w:val="20"/>
        </w:rPr>
        <w:t>0.6 million loss on debt extinguishment. The difference between the remaining 2022 Debenture principal and its fair value on December 5, 2023 was recorded as a debt discount, which was amortized to interest expense over the expected term of the Debenture using the effective interest method, in accordance with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in connection with the issuance of an additional warrant to Alpha with an exercise price of $</w:t>
      </w:r>
      <w:bookmarkStart w:id="655" w:name="xdx_907_eus-gaap--ClassOfWarrantOrRightE"/>
      <w:bookmarkEnd w:id="655"/>
      <w:r>
        <w:rPr>
          <w:rFonts w:ascii="Times New Roman;Times;Serif" w:hAnsi="Times New Roman;Times;Serif"/>
          <w:b w:val="false"/>
          <w:i w:val="false"/>
          <w:caps w:val="false"/>
          <w:smallCaps w:val="false"/>
          <w:sz w:val="20"/>
        </w:rPr>
        <w:t>13.00 per share, and pursuant to certain antidilution provisions in the 2022 Debenture, the Conversion Price of the 2022 Debenture was reduced from $</w:t>
      </w:r>
      <w:bookmarkStart w:id="656" w:name="xdx_90C_eus-gaap--DebtInstrumentConverti"/>
      <w:bookmarkEnd w:id="656"/>
      <w:r>
        <w:rPr>
          <w:rFonts w:ascii="Times New Roman;Times;Serif" w:hAnsi="Times New Roman;Times;Serif"/>
          <w:b w:val="false"/>
          <w:i w:val="false"/>
          <w:caps w:val="false"/>
          <w:smallCaps w:val="false"/>
          <w:sz w:val="20"/>
        </w:rPr>
        <w:t>36.50 per share to $</w:t>
      </w:r>
      <w:bookmarkStart w:id="657" w:name="xdx_90D_eus-gaap--DebtInstrumentConverti"/>
      <w:bookmarkEnd w:id="657"/>
      <w:r>
        <w:rPr>
          <w:rFonts w:ascii="Times New Roman;Times;Serif" w:hAnsi="Times New Roman;Times;Serif"/>
          <w:b w:val="false"/>
          <w:i w:val="false"/>
          <w:caps w:val="false"/>
          <w:smallCaps w:val="false"/>
          <w:sz w:val="20"/>
        </w:rPr>
        <w:t>13.00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issued a total of </w:t>
      </w:r>
      <w:bookmarkStart w:id="658" w:name="xdx_908_eus-gaap--ConversionOfStockShare"/>
      <w:bookmarkEnd w:id="658"/>
      <w:r>
        <w:rPr>
          <w:rFonts w:ascii="Times New Roman;Times;Serif" w:hAnsi="Times New Roman;Times;Serif"/>
          <w:b w:val="false"/>
          <w:i w:val="false"/>
          <w:caps w:val="false"/>
          <w:smallCaps w:val="false"/>
          <w:sz w:val="20"/>
        </w:rPr>
        <w:t>45,496 shares of common stock to Alpha in lieu of cash for monthly redemption payments totaling $</w:t>
      </w:r>
      <w:bookmarkStart w:id="659" w:name="xdx_902_ecustom--DebtRedemptionAmountInC"/>
      <w:bookmarkEnd w:id="659"/>
      <w:r>
        <w:rPr>
          <w:rFonts w:ascii="Times New Roman;Times;Serif" w:hAnsi="Times New Roman;Times;Serif"/>
          <w:b w:val="false"/>
          <w:i w:val="false"/>
          <w:caps w:val="false"/>
          <w:smallCaps w:val="false"/>
          <w:sz w:val="20"/>
        </w:rPr>
        <w:t>660,000 due on the 2022 Debenture at a weighted average conversion price of $</w:t>
      </w:r>
      <w:bookmarkStart w:id="660" w:name="xdx_906_ecustom--WeightedAverageConversi"/>
      <w:bookmarkEnd w:id="660"/>
      <w:r>
        <w:rPr>
          <w:rFonts w:ascii="Times New Roman;Times;Serif" w:hAnsi="Times New Roman;Times;Serif"/>
          <w:b w:val="false"/>
          <w:i w:val="false"/>
          <w:caps w:val="false"/>
          <w:smallCaps w:val="false"/>
          <w:sz w:val="20"/>
        </w:rPr>
        <w:t>14.51 per share, resulting in a net loss on debt extinguishment of approximately $</w:t>
      </w:r>
      <w:bookmarkStart w:id="661" w:name="xdx_905_eus-gaap--GainsLossesOnExtinguis"/>
      <w:bookmarkEnd w:id="661"/>
      <w:r>
        <w:rPr>
          <w:rFonts w:ascii="Times New Roman;Times;Serif" w:hAnsi="Times New Roman;Times;Serif"/>
          <w:b w:val="false"/>
          <w:i w:val="false"/>
          <w:caps w:val="false"/>
          <w:smallCaps w:val="false"/>
          <w:sz w:val="20"/>
        </w:rPr>
        <w:t>209,000 in other expenses on the consolidated statements of operations. No redemption payments were paid in cash during the year ended December 31, 2024. Interest expense on the 2022 Debenture was approximately $</w:t>
      </w:r>
      <w:bookmarkStart w:id="662" w:name="xdx_901_eus-gaap--InterestExpense_c20240"/>
      <w:bookmarkEnd w:id="662"/>
      <w:r>
        <w:rPr>
          <w:rFonts w:ascii="Times New Roman;Times;Serif" w:hAnsi="Times New Roman;Times;Serif"/>
          <w:b w:val="false"/>
          <w:i w:val="false"/>
          <w:caps w:val="false"/>
          <w:smallCaps w:val="false"/>
          <w:sz w:val="20"/>
        </w:rPr>
        <w:t>162,000 for the year ended December 31, 2024, of which approximately $</w:t>
      </w:r>
      <w:bookmarkStart w:id="663" w:name="xdx_90E_eus-gaap--AmortizationOfDebtDisc"/>
      <w:bookmarkEnd w:id="663"/>
      <w:r>
        <w:rPr>
          <w:rFonts w:ascii="Times New Roman;Times;Serif" w:hAnsi="Times New Roman;Times;Serif"/>
          <w:b w:val="false"/>
          <w:i w:val="false"/>
          <w:caps w:val="false"/>
          <w:smallCaps w:val="false"/>
          <w:sz w:val="20"/>
        </w:rPr>
        <w:t>120,000 was attributable to discount amortization), which is reported in other expenses in the consolidated statement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2024, Alpha voluntarily converted the aggregate remaining principal of the 2022 Debenture of $</w:t>
      </w:r>
      <w:bookmarkStart w:id="664" w:name="xdx_90F_ecustom--GainLossOnVoluntaryConv"/>
      <w:bookmarkStart w:id="665" w:name="xdx_90F_ecustom--GainLossOnVoluntaryConv"/>
      <w:bookmarkEnd w:id="664"/>
      <w:bookmarkEnd w:id="665"/>
      <w:r>
        <w:rPr>
          <w:rFonts w:ascii="Times New Roman;Times;Serif" w:hAnsi="Times New Roman;Times;Serif"/>
          <w:b w:val="false"/>
          <w:i w:val="false"/>
          <w:caps w:val="false"/>
          <w:smallCaps w:val="false"/>
          <w:sz w:val="20"/>
        </w:rPr>
        <w:t xml:space="preserve">758,922, extinguishing the Company’s obligations in full with respect to the 2022 Debenture and suite of bifurcated embedded derivative features. As a result of such voluntary conversions, the Company issued a total of </w:t>
      </w:r>
      <w:bookmarkStart w:id="666" w:name="xdx_908_eus-gaap--StockIssuedDuringPerio"/>
      <w:bookmarkStart w:id="667" w:name="xdx_90D_eus-gaap--StockIssuedDuringPerio"/>
      <w:bookmarkEnd w:id="666"/>
      <w:bookmarkEnd w:id="667"/>
      <w:r>
        <w:rPr>
          <w:rFonts w:ascii="Times New Roman;Times;Serif" w:hAnsi="Times New Roman;Times;Serif"/>
          <w:b w:val="false"/>
          <w:i w:val="false"/>
          <w:caps w:val="false"/>
          <w:smallCaps w:val="false"/>
          <w:sz w:val="20"/>
        </w:rPr>
        <w:t>58,378 shares of common stock at a weighted average conversion price of $</w:t>
      </w:r>
      <w:bookmarkStart w:id="668" w:name="xdx_90F_ecustom--WeightedAverageConversi"/>
      <w:bookmarkStart w:id="669" w:name="xdx_909_ecustom--WeightedAverageConversi"/>
      <w:bookmarkEnd w:id="668"/>
      <w:bookmarkEnd w:id="669"/>
      <w:r>
        <w:rPr>
          <w:rFonts w:ascii="Times New Roman;Times;Serif" w:hAnsi="Times New Roman;Times;Serif"/>
          <w:b w:val="false"/>
          <w:i w:val="false"/>
          <w:caps w:val="false"/>
          <w:smallCaps w:val="false"/>
          <w:sz w:val="20"/>
        </w:rPr>
        <w:t>13.00. The Company recorded a gain on voluntary conversions of approximately $</w:t>
      </w:r>
      <w:bookmarkStart w:id="670" w:name="xdx_90F_ecustom--GainLossOnVoluntaryConv"/>
      <w:bookmarkEnd w:id="670"/>
      <w:r>
        <w:rPr>
          <w:rFonts w:ascii="Times New Roman;Times;Serif" w:hAnsi="Times New Roman;Times;Serif"/>
          <w:b w:val="false"/>
          <w:i w:val="false"/>
          <w:caps w:val="false"/>
          <w:smallCaps w:val="false"/>
          <w:sz w:val="20"/>
        </w:rPr>
        <w:t xml:space="preserve">85,000 during the year ended December 31, 2024. As of December 31, 2024, there were </w:t>
      </w:r>
      <w:bookmarkStart w:id="671" w:name="xdx_909_eus-gaap--ConvertibleDebt_iI_do_"/>
      <w:bookmarkEnd w:id="671"/>
      <w:r>
        <w:rPr>
          <w:rFonts w:ascii="Times New Roman;Times;Serif" w:hAnsi="Times New Roman;Times;Serif"/>
          <w:b w:val="false"/>
          <w:i w:val="false"/>
          <w:caps w:val="false"/>
          <w:smallCaps w:val="false"/>
          <w:sz w:val="20"/>
        </w:rPr>
        <w:t>no amounts outstanding under the 2022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Alpha Debenture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27, 2024, pursuant to a Securities Purchase Agreement executed with Alpha on February 27, 2024 (the “2024 Securities Purchase Agreement”) we issued to Alpha an </w:t>
      </w:r>
      <w:bookmarkStart w:id="672" w:name="xdx_901_eus-gaap--DebtInstrumentInterest"/>
      <w:bookmarkEnd w:id="672"/>
      <w:r>
        <w:rPr>
          <w:rFonts w:ascii="Times New Roman;Times;Serif" w:hAnsi="Times New Roman;Times;Serif"/>
          <w:b w:val="false"/>
          <w:i w:val="false"/>
          <w:caps w:val="false"/>
          <w:smallCaps w:val="false"/>
          <w:sz w:val="20"/>
        </w:rPr>
        <w:t>8% Convertible Debenture (the “2024 Alpha Debenture”) with a principal amount of $</w:t>
      </w:r>
      <w:bookmarkStart w:id="673" w:name="xdx_906_eus-gaap--DebtInstrumentFaceAmou"/>
      <w:bookmarkEnd w:id="673"/>
      <w:r>
        <w:rPr>
          <w:rFonts w:ascii="Times New Roman;Times;Serif" w:hAnsi="Times New Roman;Times;Serif"/>
          <w:b w:val="false"/>
          <w:i w:val="false"/>
          <w:caps w:val="false"/>
          <w:smallCaps w:val="false"/>
          <w:sz w:val="20"/>
        </w:rPr>
        <w:t>550,000, for a gross purchase price of $</w:t>
      </w:r>
      <w:bookmarkStart w:id="674" w:name="xdx_901_eus-gaap--RepaymentsOfDebt_c2024"/>
      <w:bookmarkEnd w:id="674"/>
      <w:r>
        <w:rPr>
          <w:rFonts w:ascii="Times New Roman;Times;Serif" w:hAnsi="Times New Roman;Times;Serif"/>
          <w:b w:val="false"/>
          <w:i w:val="false"/>
          <w:caps w:val="false"/>
          <w:smallCaps w:val="false"/>
          <w:sz w:val="20"/>
        </w:rPr>
        <w:t>500,000 less expenses. The 2024 Alpha Debenture carried a maturity date of December 31, 2024 and was convertible, at any time, and from time to time, at Alpha’s option, into shares of common stock of the Company, at a conversion price initially equal to $</w:t>
      </w:r>
      <w:bookmarkStart w:id="675" w:name="xdx_900_eus-gaap--SharePrice_iI_pid_c202"/>
      <w:bookmarkEnd w:id="675"/>
      <w:r>
        <w:rPr>
          <w:rFonts w:ascii="Times New Roman;Times;Serif" w:hAnsi="Times New Roman;Times;Serif"/>
          <w:b w:val="false"/>
          <w:i w:val="false"/>
          <w:caps w:val="false"/>
          <w:smallCaps w:val="false"/>
          <w:sz w:val="20"/>
        </w:rPr>
        <w:t>30.56 per share, subject to adjustment as described in the 2024 Alpha Debenture. Upon the closing of the public offering on September 6, 2024 per the terms of the antidilution provisions in the 2022 Debenture, the conversion price of the 2024 Alpha Debenture was reduced from $</w:t>
      </w:r>
      <w:bookmarkStart w:id="676" w:name="xdx_90D_eus-gaap--DebtInstrumentConverti"/>
      <w:bookmarkEnd w:id="676"/>
      <w:r>
        <w:rPr>
          <w:rFonts w:ascii="Times New Roman;Times;Serif" w:hAnsi="Times New Roman;Times;Serif"/>
          <w:b w:val="false"/>
          <w:i w:val="false"/>
          <w:caps w:val="false"/>
          <w:smallCaps w:val="false"/>
          <w:sz w:val="20"/>
        </w:rPr>
        <w:t>30.56 to $</w:t>
      </w:r>
      <w:bookmarkStart w:id="677" w:name="xdx_901_eus-gaap--DebtInstrumentConverti"/>
      <w:bookmarkEnd w:id="677"/>
      <w:r>
        <w:rPr>
          <w:rFonts w:ascii="Times New Roman;Times;Serif" w:hAnsi="Times New Roman;Times;Serif"/>
          <w:b w:val="false"/>
          <w:i w:val="false"/>
          <w:caps w:val="false"/>
          <w:smallCaps w:val="false"/>
          <w:sz w:val="20"/>
        </w:rPr>
        <w:t xml:space="preserve">6.50 per share. The 2024 Alpha Debenture accrued interest on its outstanding principal balance at the rate of </w:t>
      </w:r>
      <w:bookmarkStart w:id="678" w:name="xdx_90D_eus-gaap--DebtInstrumentInterest"/>
      <w:bookmarkEnd w:id="678"/>
      <w:r>
        <w:rPr>
          <w:rFonts w:ascii="Times New Roman;Times;Serif" w:hAnsi="Times New Roman;Times;Serif"/>
          <w:b w:val="false"/>
          <w:i w:val="false"/>
          <w:caps w:val="false"/>
          <w:smallCaps w:val="false"/>
          <w:sz w:val="20"/>
        </w:rPr>
        <w:t xml:space="preserve">8% per annum, payable at maturity. In connection with this issuance, we also issued to Alpha a noncompensatory equity classified </w:t>
      </w:r>
      <w:bookmarkStart w:id="679" w:name="xdx_903_eus-gaap--DebtInstrumentTerm_dtY"/>
      <w:bookmarkEnd w:id="679"/>
      <w:r>
        <w:rPr>
          <w:rFonts w:ascii="Times New Roman;Times;Serif" w:hAnsi="Times New Roman;Times;Serif"/>
          <w:b w:val="false"/>
          <w:i w:val="false"/>
          <w:caps w:val="false"/>
          <w:smallCaps w:val="false"/>
          <w:sz w:val="20"/>
        </w:rPr>
        <w:t xml:space="preserve">5-year common stock purchase warrant (the “2024 Alpha Warrant”) to purchase </w:t>
      </w:r>
      <w:bookmarkStart w:id="680" w:name="xdx_900_eus-gaap--ClassOfWarrantOrRightN"/>
      <w:bookmarkEnd w:id="680"/>
      <w:r>
        <w:rPr>
          <w:rFonts w:ascii="Times New Roman;Times;Serif" w:hAnsi="Times New Roman;Times;Serif"/>
          <w:b w:val="false"/>
          <w:i w:val="false"/>
          <w:caps w:val="false"/>
          <w:smallCaps w:val="false"/>
          <w:sz w:val="20"/>
        </w:rPr>
        <w:t>18,001 shares of our common stock at an exercise price initially equal to $</w:t>
      </w:r>
      <w:bookmarkStart w:id="681" w:name="xdx_90F_eus-gaap--ClassOfWarrantOrRightE"/>
      <w:bookmarkEnd w:id="681"/>
      <w:r>
        <w:rPr>
          <w:rFonts w:ascii="Times New Roman;Times;Serif" w:hAnsi="Times New Roman;Times;Serif"/>
          <w:b w:val="false"/>
          <w:i w:val="false"/>
          <w:caps w:val="false"/>
          <w:smallCaps w:val="false"/>
          <w:sz w:val="20"/>
        </w:rPr>
        <w:t>13.00 per share (see Note 15 -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2024 Securities Purchase Agreement, we also granted to Alpha an option (the “Option”), exercisable until July 1, 2024, to purchase from us an additional </w:t>
      </w:r>
      <w:bookmarkStart w:id="682" w:name="xdx_907_eus-gaap--DebtInstrumentInterest"/>
      <w:bookmarkEnd w:id="682"/>
      <w:r>
        <w:rPr>
          <w:rFonts w:ascii="Times New Roman;Times;Serif" w:hAnsi="Times New Roman;Times;Serif"/>
          <w:b w:val="false"/>
          <w:i w:val="false"/>
          <w:caps w:val="false"/>
          <w:smallCaps w:val="false"/>
          <w:sz w:val="20"/>
        </w:rPr>
        <w:t>8% Convertible Debentures, of like tenor, with a face amount of up to $</w:t>
      </w:r>
      <w:bookmarkStart w:id="683" w:name="xdx_90E_eus-gaap--DebtInstrumentCarrying"/>
      <w:bookmarkEnd w:id="683"/>
      <w:r>
        <w:rPr>
          <w:rFonts w:ascii="Times New Roman;Times;Serif" w:hAnsi="Times New Roman;Times;Serif"/>
          <w:b w:val="false"/>
          <w:i w:val="false"/>
          <w:caps w:val="false"/>
          <w:smallCaps w:val="false"/>
          <w:sz w:val="20"/>
        </w:rPr>
        <w:t xml:space="preserve">1.1 million (and with a proportional number of accompanying common stock warrants of like tenor, up to a total of </w:t>
      </w:r>
      <w:bookmarkStart w:id="684" w:name="xdx_900_eus-gaap--ClassOfWarrantOrRightN"/>
      <w:bookmarkEnd w:id="684"/>
      <w:r>
        <w:rPr>
          <w:rFonts w:ascii="Times New Roman;Times;Serif" w:hAnsi="Times New Roman;Times;Serif"/>
          <w:b w:val="false"/>
          <w:i w:val="false"/>
          <w:caps w:val="false"/>
          <w:smallCaps w:val="false"/>
          <w:sz w:val="20"/>
        </w:rPr>
        <w:t>36,001 additional warrants), for a purchase price of $</w:t>
      </w:r>
      <w:bookmarkStart w:id="685" w:name="xdx_909_eus-gaap--PaymentsForRepurchaseO"/>
      <w:bookmarkEnd w:id="685"/>
      <w:r>
        <w:rPr>
          <w:rFonts w:ascii="Times New Roman;Times;Serif" w:hAnsi="Times New Roman;Times;Serif"/>
          <w:b w:val="false"/>
          <w:i w:val="false"/>
          <w:caps w:val="false"/>
          <w:smallCaps w:val="false"/>
          <w:sz w:val="20"/>
        </w:rPr>
        <w:t>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terms of the 2024 Securities Purchase Agreement and determined that the 2024 Alpha Warrant and the Option issued to Alpha are each considered freestanding financial instruments. The 2024 Alpha Warrant was further determined to initially (i) be indexed to the Company’s own stock, and (ii) meet all of the additional criteria for permanent equity classification. As the Option required the Company to issue convertible debt with multiple cash settlement alternatives, the Option was classified as a liability and recognized at fair value, with subsequent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issuance of the 2024 Alpha Debenture were allocated first to the liability-classified Option and the bifurcated embedded features in the 2024 Alpha Debenture (conversion option, contingent acceleration upon an Event of Default, and contingent interest upon an Event of Default), with the resulting difference, if any, allocated to the loan host instrument and the equity-classified warrant on a relative fair value basis. The fair value of the Option was estimated to be $</w:t>
      </w:r>
      <w:bookmarkStart w:id="686" w:name="xdx_90A_eus-gaap--EquityFairValueDisclos"/>
      <w:bookmarkEnd w:id="686"/>
      <w:r>
        <w:rPr>
          <w:rFonts w:ascii="Times New Roman;Times;Serif" w:hAnsi="Times New Roman;Times;Serif"/>
          <w:b w:val="false"/>
          <w:i w:val="false"/>
          <w:caps w:val="false"/>
          <w:smallCaps w:val="false"/>
          <w:sz w:val="20"/>
        </w:rPr>
        <w:t>0.8 million at issuance, and the suite of bifurcated embedded derivative features was $</w:t>
      </w:r>
      <w:bookmarkStart w:id="687" w:name="xdx_906_eus-gaap--EmbeddedDerivativeFair"/>
      <w:bookmarkEnd w:id="687"/>
      <w:r>
        <w:rPr>
          <w:rFonts w:ascii="Times New Roman;Times;Serif" w:hAnsi="Times New Roman;Times;Serif"/>
          <w:b w:val="false"/>
          <w:i w:val="false"/>
          <w:caps w:val="false"/>
          <w:smallCaps w:val="false"/>
          <w:sz w:val="20"/>
        </w:rPr>
        <w:t>0.08 million. As the fair value of the liability-classified instruments and features exceeded the net proceeds received, the Company recognized a loss on issuance of convertible debt of $</w:t>
      </w:r>
      <w:bookmarkStart w:id="688" w:name="xdx_90E_eus-gaap--DebtConversionOriginal"/>
      <w:bookmarkEnd w:id="688"/>
      <w:r>
        <w:rPr>
          <w:rFonts w:ascii="Times New Roman;Times;Serif" w:hAnsi="Times New Roman;Times;Serif"/>
          <w:b w:val="false"/>
          <w:i w:val="false"/>
          <w:caps w:val="false"/>
          <w:smallCaps w:val="false"/>
          <w:sz w:val="20"/>
        </w:rPr>
        <w:t>0.4 million, presented in other expenses in the consolidated statements of operations. As a result, the Company recorded a debt discount at the maximum amount equal to the principal of $</w:t>
      </w:r>
      <w:bookmarkStart w:id="689" w:name="xdx_906_eus-gaap--AmortizationOfDebtDisc"/>
      <w:bookmarkEnd w:id="689"/>
      <w:r>
        <w:rPr>
          <w:rFonts w:ascii="Times New Roman;Times;Serif" w:hAnsi="Times New Roman;Times;Serif"/>
          <w:b w:val="false"/>
          <w:i w:val="false"/>
          <w:caps w:val="false"/>
          <w:smallCaps w:val="false"/>
          <w:sz w:val="20"/>
        </w:rPr>
        <w:t>550,000, which was amortized as additional interest expense over the expected term of the 2024 Alpha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2024 we issued </w:t>
      </w:r>
      <w:bookmarkStart w:id="690" w:name="xdx_90F_eus-gaap--ConversionOfStockShare"/>
      <w:bookmarkEnd w:id="690"/>
      <w:r>
        <w:rPr>
          <w:rFonts w:ascii="Times New Roman;Times;Serif" w:hAnsi="Times New Roman;Times;Serif"/>
          <w:b w:val="false"/>
          <w:i w:val="false"/>
          <w:caps w:val="false"/>
          <w:smallCaps w:val="false"/>
          <w:sz w:val="20"/>
        </w:rPr>
        <w:t>7,842 shares of common stock upon Alpha’s partial voluntary conversion of the 2024 Alpha Debenture at a conversion price of $</w:t>
      </w:r>
      <w:bookmarkStart w:id="691" w:name="xdx_902_eus-gaap--DebtInstrumentConverti"/>
      <w:bookmarkEnd w:id="691"/>
      <w:r>
        <w:rPr>
          <w:rFonts w:ascii="Times New Roman;Times;Serif" w:hAnsi="Times New Roman;Times;Serif"/>
          <w:b w:val="false"/>
          <w:i w:val="false"/>
          <w:caps w:val="false"/>
          <w:smallCaps w:val="false"/>
          <w:sz w:val="20"/>
        </w:rPr>
        <w:t>6.50 per share for a total of $</w:t>
      </w:r>
      <w:bookmarkStart w:id="692" w:name="xdx_90B_eus-gaap--DebtInstrumentFaceAmou"/>
      <w:bookmarkEnd w:id="692"/>
      <w:r>
        <w:rPr>
          <w:rFonts w:ascii="Times New Roman;Times;Serif" w:hAnsi="Times New Roman;Times;Serif"/>
          <w:b w:val="false"/>
          <w:i w:val="false"/>
          <w:caps w:val="false"/>
          <w:smallCaps w:val="false"/>
          <w:sz w:val="20"/>
        </w:rPr>
        <w:t>50,979 in principal. The Company recognized a loss on partial voluntary conversion of approximately $</w:t>
      </w:r>
      <w:bookmarkStart w:id="693" w:name="xdx_900_ecustom--VoluntaryConversionOfCo"/>
      <w:bookmarkEnd w:id="693"/>
      <w:r>
        <w:rPr>
          <w:rFonts w:ascii="Times New Roman;Times;Serif" w:hAnsi="Times New Roman;Times;Serif"/>
          <w:b w:val="false"/>
          <w:i w:val="false"/>
          <w:caps w:val="false"/>
          <w:smallCaps w:val="false"/>
          <w:sz w:val="20"/>
        </w:rPr>
        <w:t>29,000.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interest expense on the 2024 Alpha Debenture was approximately $</w:t>
      </w:r>
      <w:bookmarkStart w:id="694" w:name="xdx_90B_eus-gaap--InterestExpense_c20240"/>
      <w:bookmarkEnd w:id="694"/>
      <w:r>
        <w:rPr>
          <w:rFonts w:ascii="Times New Roman;Times;Serif" w:hAnsi="Times New Roman;Times;Serif"/>
          <w:b w:val="false"/>
          <w:i w:val="false"/>
          <w:caps w:val="false"/>
          <w:smallCaps w:val="false"/>
          <w:sz w:val="20"/>
        </w:rPr>
        <w:t>486,000, of which approximately $</w:t>
      </w:r>
      <w:bookmarkStart w:id="695" w:name="xdx_906_eus-gaap--AmortizationOfDebtDisc"/>
      <w:bookmarkEnd w:id="695"/>
      <w:r>
        <w:rPr>
          <w:rFonts w:ascii="Times New Roman;Times;Serif" w:hAnsi="Times New Roman;Times;Serif"/>
          <w:b w:val="false"/>
          <w:i w:val="false"/>
          <w:caps w:val="false"/>
          <w:smallCaps w:val="false"/>
          <w:sz w:val="20"/>
        </w:rPr>
        <w:t>473,000 was attributable to discount amortization), which is reported in other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in connection with the closing of the Company’s private placement transaction and issuance of Series A-2 Preferred Stock, the Company used $</w:t>
      </w:r>
      <w:bookmarkStart w:id="696" w:name="xdx_902_eus-gaap--ProceedsFromRepayments"/>
      <w:bookmarkEnd w:id="696"/>
      <w:r>
        <w:rPr>
          <w:rFonts w:ascii="Times New Roman;Times;Serif" w:hAnsi="Times New Roman;Times;Serif"/>
          <w:b w:val="false"/>
          <w:i w:val="false"/>
          <w:caps w:val="false"/>
          <w:smallCaps w:val="false"/>
          <w:sz w:val="20"/>
        </w:rPr>
        <w:t>530,839 of the proceeds to repay the outstanding principal and accrued interest on the Alpha Debenture, in full settlement of the obligation. The Company recognized a debt extinguishment loss of $</w:t>
      </w:r>
      <w:bookmarkStart w:id="697" w:name="xdx_908_eus-gaap--GainsLossesOnExtinguis"/>
      <w:bookmarkEnd w:id="697"/>
      <w:r>
        <w:rPr>
          <w:rFonts w:ascii="Times New Roman;Times;Serif" w:hAnsi="Times New Roman;Times;Serif"/>
          <w:b w:val="false"/>
          <w:i w:val="false"/>
          <w:caps w:val="false"/>
          <w:smallCaps w:val="false"/>
          <w:sz w:val="20"/>
        </w:rPr>
        <w:t xml:space="preserve">68,000 on the settlement date, representing the difference between (i) the cash reacquisition price, and (ii) the net carrying value of the debt, inclusive of unamortized discounts and issuance costs and the fair value of the associated suite of bifurcated derivative liabilities on the settlement date. As of December 31, 2024, there were </w:t>
      </w:r>
      <w:bookmarkStart w:id="698" w:name="xdx_902_eus-gaap--ConvertibleDebt_iI_do_"/>
      <w:bookmarkEnd w:id="698"/>
      <w:r>
        <w:rPr>
          <w:rFonts w:ascii="Times New Roman;Times;Serif" w:hAnsi="Times New Roman;Times;Serif"/>
          <w:b w:val="false"/>
          <w:i w:val="false"/>
          <w:caps w:val="false"/>
          <w:smallCaps w:val="false"/>
          <w:sz w:val="20"/>
        </w:rPr>
        <w:t>no amounts outstanding under the 2024 Alpha Debenture.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Chen Debenture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Alpha assigned the Option to Yi Hua Chen (“Chen”) and Chen exercised the option in full, in exchange for $</w:t>
      </w:r>
      <w:bookmarkStart w:id="699" w:name="xdx_906_eus-gaap--DebtConversionConverte"/>
      <w:bookmarkEnd w:id="699"/>
      <w:r>
        <w:rPr>
          <w:rFonts w:ascii="Times New Roman;Times;Serif" w:hAnsi="Times New Roman;Times;Serif"/>
          <w:b w:val="false"/>
          <w:i w:val="false"/>
          <w:caps w:val="false"/>
          <w:smallCaps w:val="false"/>
          <w:sz w:val="20"/>
        </w:rPr>
        <w:t xml:space="preserve">1,000,000, less expenses, we issued to Chen an </w:t>
      </w:r>
      <w:bookmarkStart w:id="700" w:name="xdx_902_eus-gaap--DebtInstrumentInterest"/>
      <w:bookmarkEnd w:id="700"/>
      <w:r>
        <w:rPr>
          <w:rFonts w:ascii="Times New Roman;Times;Serif" w:hAnsi="Times New Roman;Times;Serif"/>
          <w:b w:val="false"/>
          <w:i w:val="false"/>
          <w:caps w:val="false"/>
          <w:smallCaps w:val="false"/>
          <w:sz w:val="20"/>
        </w:rPr>
        <w:t>8% Convertible Debenture (the “2024 Chen Debenture”) with a principal amount of $</w:t>
      </w:r>
      <w:bookmarkStart w:id="701" w:name="xdx_90A_eus-gaap--DebtInstrumentFaceAmou"/>
      <w:bookmarkEnd w:id="701"/>
      <w:r>
        <w:rPr>
          <w:rFonts w:ascii="Times New Roman;Times;Serif" w:hAnsi="Times New Roman;Times;Serif"/>
          <w:b w:val="false"/>
          <w:i w:val="false"/>
          <w:caps w:val="false"/>
          <w:smallCaps w:val="false"/>
          <w:sz w:val="20"/>
        </w:rPr>
        <w:t>1,100,000. The 2024 Chen Debenture carried a maturity date of December 31, 2024 and was convertible, at any time, and from time to time, at Chen’s option, into shares of common stock of the Company at a conversion price initially equal to $</w:t>
      </w:r>
      <w:bookmarkStart w:id="702" w:name="xdx_90E_eus-gaap--SharePrice_iI_pid_c202"/>
      <w:bookmarkEnd w:id="702"/>
      <w:r>
        <w:rPr>
          <w:rFonts w:ascii="Times New Roman;Times;Serif" w:hAnsi="Times New Roman;Times;Serif"/>
          <w:b w:val="false"/>
          <w:i w:val="false"/>
          <w:caps w:val="false"/>
          <w:smallCaps w:val="false"/>
          <w:sz w:val="20"/>
        </w:rPr>
        <w:t>30.56 per share, subject to adjustment as described in the 2024 Chen Debenture. Upon the closing of the public offering on September 6, 2024 per the terms of the antidilution provision, the conversion price of the 2024 Chen Debenture was reduced from $</w:t>
      </w:r>
      <w:bookmarkStart w:id="703" w:name="xdx_901_eus-gaap--DebtInstrumentConverti"/>
      <w:bookmarkEnd w:id="703"/>
      <w:r>
        <w:rPr>
          <w:rFonts w:ascii="Times New Roman;Times;Serif" w:hAnsi="Times New Roman;Times;Serif"/>
          <w:b w:val="false"/>
          <w:i w:val="false"/>
          <w:caps w:val="false"/>
          <w:smallCaps w:val="false"/>
          <w:sz w:val="20"/>
        </w:rPr>
        <w:t>30.56 to $</w:t>
      </w:r>
      <w:bookmarkStart w:id="704" w:name="xdx_90A_eus-gaap--DebtInstrumentConverti"/>
      <w:bookmarkEnd w:id="704"/>
      <w:r>
        <w:rPr>
          <w:rFonts w:ascii="Times New Roman;Times;Serif" w:hAnsi="Times New Roman;Times;Serif"/>
          <w:b w:val="false"/>
          <w:i w:val="false"/>
          <w:caps w:val="false"/>
          <w:smallCaps w:val="false"/>
          <w:sz w:val="20"/>
        </w:rPr>
        <w:t xml:space="preserve">6.50 per share. The 2024 Chen Debenture accrues interest on its outstanding principal balance at the rate of </w:t>
      </w:r>
      <w:bookmarkStart w:id="705" w:name="xdx_90A_eus-gaap--DebtInstrumentInterest"/>
      <w:bookmarkEnd w:id="705"/>
      <w:r>
        <w:rPr>
          <w:rFonts w:ascii="Times New Roman;Times;Serif" w:hAnsi="Times New Roman;Times;Serif"/>
          <w:b w:val="false"/>
          <w:i w:val="false"/>
          <w:caps w:val="false"/>
          <w:smallCaps w:val="false"/>
          <w:sz w:val="20"/>
        </w:rPr>
        <w:t xml:space="preserve">8% per annum, payable at maturity. In connection with this issuance, we also issued to Chen a </w:t>
      </w:r>
      <w:bookmarkStart w:id="706" w:name="xdx_90C_eus-gaap--DebtInstrumentTerm_dtY"/>
      <w:bookmarkEnd w:id="706"/>
      <w:r>
        <w:rPr>
          <w:rFonts w:ascii="Times New Roman;Times;Serif" w:hAnsi="Times New Roman;Times;Serif"/>
          <w:b w:val="false"/>
          <w:i w:val="false"/>
          <w:caps w:val="false"/>
          <w:smallCaps w:val="false"/>
          <w:sz w:val="20"/>
        </w:rPr>
        <w:t xml:space="preserve">5-year liability classified common stock purchase warrant (the “2024 Chen Warrant”) to purchase </w:t>
      </w:r>
      <w:bookmarkStart w:id="707" w:name="xdx_905_eus-gaap--ClassOfWarrantOrRightN"/>
      <w:bookmarkEnd w:id="707"/>
      <w:r>
        <w:rPr>
          <w:rFonts w:ascii="Times New Roman;Times;Serif" w:hAnsi="Times New Roman;Times;Serif"/>
          <w:b w:val="false"/>
          <w:i w:val="false"/>
          <w:caps w:val="false"/>
          <w:smallCaps w:val="false"/>
          <w:sz w:val="20"/>
        </w:rPr>
        <w:t>36,001 shares of our common stock at an exercise price initially equal to $</w:t>
      </w:r>
      <w:bookmarkStart w:id="708" w:name="xdx_90A_eus-gaap--ClassOfWarrantOrRightE"/>
      <w:bookmarkEnd w:id="708"/>
      <w:r>
        <w:rPr>
          <w:rFonts w:ascii="Times New Roman;Times;Serif" w:hAnsi="Times New Roman;Times;Serif"/>
          <w:b w:val="false"/>
          <w:i w:val="false"/>
          <w:caps w:val="false"/>
          <w:smallCaps w:val="false"/>
          <w:sz w:val="20"/>
        </w:rPr>
        <w:t>13.00 per share (see Note 9 -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terms of the 2024 Chen Debenture and the 2024 Chen Warrant and determined that the 2024 Chen Warrant was considered a freestanding financial instrument. The 2024 Chen Warrant was further determined to be indexed to the Company’s own stock. However, the 2024 Chen Warrant failed to meet the additional criteria for permanent equity classification due to a lack of authorized shares available to settle the instrument, as the Company was required to obtain shareholder approval to issue all shares underlying the 2024 Securities Purchase Agreement to comply with the rules of Nasdaq. The Company has adopted a sequencing approach under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to determine the classification of its contracts at issuance and at each subsequent reporting date, whereby shares are allocated based on the earliest issuance date of potentially dilutive instruments, with the earliest issuance date receiving the first allocation of shares. In the event of identical issuance dates, shares are then allocated beginning with instruments with the latest maturity date first. Pursuant to this sequencing approach, as of April 27, 2024, we determined that the authorized shares were sufficient to settle the 2024 Alpha Warrant and was therefore classified in equity. The Company determined the remaining shares were not sufficient to settle the 2024 Chen Warrant and therefore classified as a liability at fair value, with subsequent changes in fair value recognized in earnings, until such shareholder approval was obtained on October 25, 2024 (see Note 9 -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issuance of the 2024 Chen Debenture, inclusive of the fair value of the settled Option on April 12, 2024 of $</w:t>
      </w:r>
      <w:bookmarkStart w:id="709" w:name="xdx_90C_eus-gaap--ProceedsFromConvertibl"/>
      <w:bookmarkEnd w:id="709"/>
      <w:r>
        <w:rPr>
          <w:rFonts w:ascii="Times New Roman;Times;Serif" w:hAnsi="Times New Roman;Times;Serif"/>
          <w:b w:val="false"/>
          <w:i w:val="false"/>
          <w:caps w:val="false"/>
          <w:smallCaps w:val="false"/>
          <w:sz w:val="20"/>
        </w:rPr>
        <w:t>0.7 million, was first allocated to the liability-classified 2024 Chen Warrant and the bifurcated embedded features in the 2024 Chen Debenture, with the resulting difference, if any, allocated to the loan host instrument. As a result, the fair value of the 2024 Chen Warrant at issuance of $</w:t>
      </w:r>
      <w:bookmarkStart w:id="710" w:name="xdx_90E_eus-gaap--FairValueAdjustmentOfW"/>
      <w:bookmarkEnd w:id="710"/>
      <w:r>
        <w:rPr>
          <w:rFonts w:ascii="Times New Roman;Times;Serif" w:hAnsi="Times New Roman;Times;Serif"/>
          <w:b w:val="false"/>
          <w:i w:val="false"/>
          <w:caps w:val="false"/>
          <w:smallCaps w:val="false"/>
          <w:sz w:val="20"/>
        </w:rPr>
        <w:t>0.6 million at issuance and the suite of bifurcated embedded derivative features of $</w:t>
      </w:r>
      <w:bookmarkStart w:id="711" w:name="xdx_906_eus-gaap--EmbeddedDerivativeFair"/>
      <w:bookmarkEnd w:id="711"/>
      <w:r>
        <w:rPr>
          <w:rFonts w:ascii="Times New Roman;Times;Serif" w:hAnsi="Times New Roman;Times;Serif"/>
          <w:b w:val="false"/>
          <w:i w:val="false"/>
          <w:caps w:val="false"/>
          <w:smallCaps w:val="false"/>
          <w:sz w:val="20"/>
        </w:rPr>
        <w:t>0.03 million comprised the initial debt discount, which was amortized to interest expense over the expected term of the 2024 Chen Debenture using the effective interest method, in accordance with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interest expense on the 2024 Chen Debenture was approximately $</w:t>
      </w:r>
      <w:bookmarkStart w:id="712" w:name="xdx_903_eus-gaap--InterestExpense_c20240"/>
      <w:bookmarkEnd w:id="712"/>
      <w:r>
        <w:rPr>
          <w:rFonts w:ascii="Times New Roman;Times;Serif" w:hAnsi="Times New Roman;Times;Serif"/>
          <w:b w:val="false"/>
          <w:i w:val="false"/>
          <w:caps w:val="false"/>
          <w:smallCaps w:val="false"/>
          <w:sz w:val="20"/>
        </w:rPr>
        <w:t>78,000, of which approximately $</w:t>
      </w:r>
      <w:bookmarkStart w:id="713" w:name="xdx_901_eus-gaap--AmortizationOfDebtDisc"/>
      <w:bookmarkEnd w:id="713"/>
      <w:r>
        <w:rPr>
          <w:rFonts w:ascii="Times New Roman;Times;Serif" w:hAnsi="Times New Roman;Times;Serif"/>
          <w:b w:val="false"/>
          <w:i w:val="false"/>
          <w:caps w:val="false"/>
          <w:smallCaps w:val="false"/>
          <w:sz w:val="20"/>
        </w:rPr>
        <w:t>23,000 was attributable to discount amortization), which is reported in other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in connection with the closing of the Company’s private placement transaction and issuance of Series A-2 Preferred Stock, the Company and Chen executed an Exchange Agreement (the “Exchange Agreement”), agreeing to convert all outstanding principal and accrued interest on the 2024 Chen Debenture totaling approximately $</w:t>
      </w:r>
      <w:bookmarkStart w:id="714" w:name="xdx_905_eus-gaap--DebtConversionOriginal"/>
      <w:bookmarkEnd w:id="714"/>
      <w:r>
        <w:rPr>
          <w:rFonts w:ascii="Times New Roman;Times;Serif" w:hAnsi="Times New Roman;Times;Serif"/>
          <w:b w:val="false"/>
          <w:i w:val="false"/>
          <w:caps w:val="false"/>
          <w:smallCaps w:val="false"/>
          <w:sz w:val="20"/>
        </w:rPr>
        <w:t xml:space="preserve">1,154,000, in exchange for </w:t>
      </w:r>
      <w:bookmarkStart w:id="715" w:name="xdx_903_eus-gaap--ConversionOfStockShare"/>
      <w:bookmarkEnd w:id="715"/>
      <w:r>
        <w:rPr>
          <w:rFonts w:ascii="Times New Roman;Times;Serif" w:hAnsi="Times New Roman;Times;Serif"/>
          <w:b w:val="false"/>
          <w:i w:val="false"/>
          <w:caps w:val="false"/>
          <w:smallCaps w:val="false"/>
          <w:sz w:val="20"/>
        </w:rPr>
        <w:t xml:space="preserve">1,154 shares of newly designated Series A-2 Preferred Stock, in full settlement of the Company’s obligations with respect to the Chen Debenture. As of December 31, 2025 and December 31, 2024, there were </w:t>
      </w:r>
      <w:bookmarkStart w:id="716" w:name="xdx_903_eus-gaap--ConvertibleDebt_iI_do_"/>
      <w:bookmarkStart w:id="717" w:name="xdx_908_eus-gaap--ConvertibleDebt_iI_do_"/>
      <w:bookmarkEnd w:id="716"/>
      <w:bookmarkEnd w:id="717"/>
      <w:r>
        <w:rPr>
          <w:rFonts w:ascii="Times New Roman;Times;Serif" w:hAnsi="Times New Roman;Times;Serif"/>
          <w:b w:val="false"/>
          <w:i w:val="false"/>
          <w:caps w:val="false"/>
          <w:smallCaps w:val="false"/>
          <w:sz w:val="20"/>
        </w:rPr>
        <w:t>no amounts outstanding under the 2024 Chen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the Company entered into a Secured Convertible Note (the “2025 Convertible Note”) with Alpha Capital Anstalt (“Alpha”, or “Holder”), pursuant to which the Company issued to Alpha a non-interest-bearing note with a principal of $</w:t>
      </w:r>
      <w:bookmarkStart w:id="718" w:name="xdx_908_eus-gaap--DebtInstrumentFaceAmou"/>
      <w:bookmarkEnd w:id="718"/>
      <w:r>
        <w:rPr>
          <w:rFonts w:ascii="Times New Roman;Times;Serif" w:hAnsi="Times New Roman;Times;Serif"/>
          <w:b w:val="false"/>
          <w:i w:val="false"/>
          <w:caps w:val="false"/>
          <w:smallCaps w:val="false"/>
          <w:sz w:val="20"/>
        </w:rPr>
        <w:t xml:space="preserve">264,000, and an original issue discount (“OID”) of </w:t>
      </w:r>
      <w:bookmarkStart w:id="719" w:name="xdx_90F_eus-gaap--DebtInstrumentInterest"/>
      <w:bookmarkEnd w:id="719"/>
      <w:r>
        <w:rPr>
          <w:rFonts w:ascii="Times New Roman;Times;Serif" w:hAnsi="Times New Roman;Times;Serif"/>
          <w:b w:val="false"/>
          <w:i w:val="false"/>
          <w:caps w:val="false"/>
          <w:smallCaps w:val="false"/>
          <w:sz w:val="20"/>
        </w:rPr>
        <w:t>20%, or $</w:t>
      </w:r>
      <w:bookmarkStart w:id="720" w:name="xdx_906_eus-gaap--DebtInstrumentCarrying"/>
      <w:bookmarkEnd w:id="720"/>
      <w:r>
        <w:rPr>
          <w:rFonts w:ascii="Times New Roman;Times;Serif" w:hAnsi="Times New Roman;Times;Serif"/>
          <w:b w:val="false"/>
          <w:i w:val="false"/>
          <w:caps w:val="false"/>
          <w:smallCaps w:val="false"/>
          <w:sz w:val="20"/>
        </w:rPr>
        <w:t>44,000, in exchange for $</w:t>
      </w:r>
      <w:bookmarkStart w:id="721" w:name="xdx_90F_eus-gaap--Cash_iI_c20250428__us-"/>
      <w:bookmarkEnd w:id="721"/>
      <w:r>
        <w:rPr>
          <w:rFonts w:ascii="Times New Roman;Times;Serif" w:hAnsi="Times New Roman;Times;Serif"/>
          <w:b w:val="false"/>
          <w:i w:val="false"/>
          <w:caps w:val="false"/>
          <w:smallCaps w:val="false"/>
          <w:sz w:val="20"/>
        </w:rPr>
        <w:t>220,000 cash, less $</w:t>
      </w:r>
      <w:bookmarkStart w:id="722" w:name="xdx_902_eus-gaap--OtherExpenses_c2025042"/>
      <w:bookmarkEnd w:id="722"/>
      <w:r>
        <w:rPr>
          <w:rFonts w:ascii="Times New Roman;Times;Serif" w:hAnsi="Times New Roman;Times;Serif"/>
          <w:b w:val="false"/>
          <w:i w:val="false"/>
          <w:caps w:val="false"/>
          <w:smallCaps w:val="false"/>
          <w:sz w:val="20"/>
        </w:rPr>
        <w:t>20,000 in expenses. The Note is convertible at any time at Alpha’s option, into shares of the Company’s common stock at a price equal to $</w:t>
      </w:r>
      <w:bookmarkStart w:id="723" w:name="xdx_907_eus-gaap--SharePrice_iI_pid_c202"/>
      <w:bookmarkEnd w:id="723"/>
      <w:r>
        <w:rPr>
          <w:rFonts w:ascii="Times New Roman;Times;Serif" w:hAnsi="Times New Roman;Times;Serif"/>
          <w:b w:val="false"/>
          <w:i w:val="false"/>
          <w:caps w:val="false"/>
          <w:smallCaps w:val="false"/>
          <w:sz w:val="20"/>
        </w:rPr>
        <w:t>3.80 per share, subject to certain adjustments. The Convertible Note bears no interest, and the principal will be due on January 28, 2026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2025 Convertible Note does not contain a substantial premium and therefore the Company elected to account for the Convertible Note under the fair value option in accordance with ASC 825-10-15-4. The Company determined the fair value of the Convertible Note was $</w:t>
      </w:r>
      <w:bookmarkStart w:id="724" w:name="xdx_90D_eus-gaap--ConvertiblePreferredSt"/>
      <w:bookmarkEnd w:id="724"/>
      <w:r>
        <w:rPr>
          <w:rFonts w:ascii="Times New Roman;Times;Serif" w:hAnsi="Times New Roman;Times;Serif"/>
          <w:b w:val="false"/>
          <w:i w:val="false"/>
          <w:caps w:val="false"/>
          <w:smallCaps w:val="false"/>
          <w:sz w:val="20"/>
        </w:rPr>
        <w:t>311,943 at issuance. The difference between the $</w:t>
      </w:r>
      <w:bookmarkStart w:id="725" w:name="xdx_908_eus-gaap--ProceedsFromIssuanceOf"/>
      <w:bookmarkEnd w:id="725"/>
      <w:r>
        <w:rPr>
          <w:rFonts w:ascii="Times New Roman;Times;Serif" w:hAnsi="Times New Roman;Times;Serif"/>
          <w:b w:val="false"/>
          <w:i w:val="false"/>
          <w:caps w:val="false"/>
          <w:smallCaps w:val="false"/>
          <w:sz w:val="20"/>
        </w:rPr>
        <w:t>220,000 proceeds received and fair value was recorded as a loss upon issuance in the amount of $</w:t>
      </w:r>
      <w:bookmarkStart w:id="726" w:name="xdx_902_eus-gaap--AmortizationOfFinancin"/>
      <w:bookmarkEnd w:id="726"/>
      <w:r>
        <w:rPr>
          <w:rFonts w:ascii="Times New Roman;Times;Serif" w:hAnsi="Times New Roman;Times;Serif"/>
          <w:b w:val="false"/>
          <w:i w:val="false"/>
          <w:caps w:val="false"/>
          <w:smallCaps w:val="false"/>
          <w:sz w:val="20"/>
        </w:rPr>
        <w:t>91,943. Issuance costs incurred in connection with the transaction were expensed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2025 the Company paid down $</w:t>
      </w:r>
      <w:bookmarkStart w:id="727" w:name="xdx_903_eus-gaap--DebtInstrumentFaceAmou"/>
      <w:bookmarkEnd w:id="727"/>
      <w:r>
        <w:rPr>
          <w:rFonts w:ascii="Times New Roman;Times;Serif" w:hAnsi="Times New Roman;Times;Serif"/>
          <w:b w:val="false"/>
          <w:i w:val="false"/>
          <w:caps w:val="false"/>
          <w:smallCaps w:val="false"/>
          <w:sz w:val="20"/>
        </w:rPr>
        <w:t>132,000 in principal at the request of Alpha. As of December 31, 2025 the Company reassessed the fair value of the 2025 Convertible Note at $</w:t>
      </w:r>
      <w:bookmarkStart w:id="728" w:name="xdx_903_ecustom--ChangeInFairValueOfConv"/>
      <w:bookmarkEnd w:id="728"/>
      <w:r>
        <w:rPr>
          <w:rFonts w:ascii="Times New Roman;Times;Serif" w:hAnsi="Times New Roman;Times;Serif"/>
          <w:b w:val="false"/>
          <w:i w:val="false"/>
          <w:caps w:val="false"/>
          <w:smallCaps w:val="false"/>
          <w:sz w:val="20"/>
        </w:rPr>
        <w:t>142,236, with a gain on the change in fair value of $</w:t>
      </w:r>
      <w:bookmarkStart w:id="729" w:name="xdx_908_eus-gaap--GainsLossesOnExtinguis"/>
      <w:bookmarkEnd w:id="729"/>
      <w:r>
        <w:rPr>
          <w:rFonts w:ascii="Times New Roman;Times;Serif" w:hAnsi="Times New Roman;Times;Serif"/>
          <w:b w:val="false"/>
          <w:i w:val="false"/>
          <w:caps w:val="false"/>
          <w:smallCaps w:val="false"/>
          <w:sz w:val="20"/>
        </w:rPr>
        <w:t>37,707 recorded in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0" w:name="xdx_80D_eus-gaap--ShortTermDebtTextBlock"/>
      <w:bookmarkEnd w:id="730"/>
      <w:r>
        <w:rPr>
          <w:rFonts w:ascii="Times New Roman;Times;Serif" w:hAnsi="Times New Roman;Times;Serif"/>
          <w:b/>
          <w:i w:val="false"/>
          <w:caps w:val="false"/>
          <w:smallCaps w:val="false"/>
          <w:sz w:val="20"/>
        </w:rPr>
        <w:t xml:space="preserve">NOTE 11 — </w:t>
      </w:r>
      <w:bookmarkStart w:id="731" w:name="xdx_826_zPdrn9MAuDS5"/>
      <w:bookmarkEnd w:id="731"/>
      <w:r>
        <w:rPr>
          <w:rFonts w:ascii="Times New Roman;Times;Serif" w:hAnsi="Times New Roman;Times;Serif"/>
          <w:b/>
          <w:i w:val="false"/>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short term notes payable totaling $</w:t>
      </w:r>
      <w:bookmarkStart w:id="732" w:name="xdx_908_eus-gaap--NotesPayable_iI_pn5n6_"/>
      <w:bookmarkEnd w:id="732"/>
      <w:r>
        <w:rPr>
          <w:rFonts w:ascii="Times New Roman;Times;Serif" w:hAnsi="Times New Roman;Times;Serif"/>
          <w:b w:val="false"/>
          <w:i w:val="false"/>
          <w:caps w:val="false"/>
          <w:smallCaps w:val="false"/>
          <w:sz w:val="20"/>
        </w:rPr>
        <w:t>4.4 million for total net proceeds of $</w:t>
      </w:r>
      <w:bookmarkStart w:id="733" w:name="xdx_905_eus-gaap--ProceedsFromShortTermD"/>
      <w:bookmarkEnd w:id="733"/>
      <w:r>
        <w:rPr>
          <w:rFonts w:ascii="Times New Roman;Times;Serif" w:hAnsi="Times New Roman;Times;Serif"/>
          <w:b w:val="false"/>
          <w:i w:val="false"/>
          <w:caps w:val="false"/>
          <w:smallCaps w:val="false"/>
          <w:sz w:val="20"/>
        </w:rPr>
        <w:t>3.4 million. Over the course of the year the Company repaid all notes for a total of $</w:t>
      </w:r>
      <w:bookmarkStart w:id="734" w:name="xdx_908_eus-gaap--RepaymentsOfNotesPayab"/>
      <w:bookmarkEnd w:id="734"/>
      <w:r>
        <w:rPr>
          <w:rFonts w:ascii="Times New Roman;Times;Serif" w:hAnsi="Times New Roman;Times;Serif"/>
          <w:b w:val="false"/>
          <w:i w:val="false"/>
          <w:caps w:val="false"/>
          <w:smallCaps w:val="false"/>
          <w:sz w:val="20"/>
        </w:rPr>
        <w:t>4.4 million, with the additional $</w:t>
      </w:r>
      <w:bookmarkStart w:id="735" w:name="xdx_90B_eus-gaap--InterestExpenseDebt_pn"/>
      <w:bookmarkEnd w:id="735"/>
      <w:r>
        <w:rPr>
          <w:rFonts w:ascii="Times New Roman;Times;Serif" w:hAnsi="Times New Roman;Times;Serif"/>
          <w:b w:val="false"/>
          <w:i w:val="false"/>
          <w:caps w:val="false"/>
          <w:smallCaps w:val="false"/>
          <w:sz w:val="20"/>
        </w:rPr>
        <w:t>1.0 million paid as a premium to some of the lenders and was recorded under 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outstanding promissory notes outstanding as of December 31, 2025 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6" w:name="xdx_80F_eus-gaap--EarningsPerShareTextBl"/>
      <w:bookmarkEnd w:id="736"/>
      <w:r>
        <w:rPr>
          <w:rFonts w:ascii="Times New Roman;Times;Serif" w:hAnsi="Times New Roman;Times;Serif"/>
          <w:b/>
          <w:i w:val="false"/>
          <w:caps w:val="false"/>
          <w:smallCaps w:val="false"/>
          <w:sz w:val="20"/>
        </w:rPr>
        <w:t xml:space="preserve">NOTE 12 — </w:t>
      </w:r>
      <w:bookmarkStart w:id="737" w:name="xdx_82D_zm7bdnPVU8p9"/>
      <w:bookmarkEnd w:id="737"/>
      <w:r>
        <w:rPr>
          <w:rFonts w:ascii="Times New Roman;Times;Serif" w:hAnsi="Times New Roman;Times;Serif"/>
          <w:b/>
          <w:i w:val="false"/>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8" w:name="xdx_89D_eus-gaap--ScheduleOfEarningsPerS"/>
      <w:bookmarkEnd w:id="738"/>
      <w:r>
        <w:rPr>
          <w:rFonts w:ascii="Times New Roman;Times;Serif" w:hAnsi="Times New Roman;Times;Serif"/>
          <w:b w:val="false"/>
          <w:i w:val="false"/>
          <w:caps w:val="false"/>
          <w:smallCaps w:val="false"/>
          <w:sz w:val="20"/>
        </w:rPr>
        <w:t xml:space="preserve">Basic loss per share (“EPS”) is computed by dividing net loss including deemed dividends by the weighted-average number of common shares outstanding plus unexercised pre-funded warrants. Diluted EPS is computed based on the sum of the weighted-average number of common shares and potentially dilutive common shares outstanding during the period. Potentially dilutive common shares consist of shares issuable from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xml:space="preserve"> convertible debt, stock options and warrants.</w:t>
      </w:r>
    </w:p>
    <w:p>
      <w:pPr>
        <w:pStyle w:val="TextBody"/>
        <w:bidi w:val="0"/>
        <w:spacing w:before="0" w:after="0"/>
        <w:ind w:left="0" w:right="0" w:hanging="0"/>
        <w:jc w:val="both"/>
        <w:rPr>
          <w:caps w:val="false"/>
          <w:smallCaps w:val="false"/>
        </w:rPr>
      </w:pPr>
      <w:r>
        <w:rPr>
          <w:caps w:val="false"/>
          <w:smallCaps w:val="false"/>
        </w:rPr>
        <w:t> </w:t>
      </w:r>
      <w:bookmarkStart w:id="739" w:name="xdx_8BD_zGlNQdrZa7g4"/>
      <w:bookmarkEnd w:id="739"/>
      <w:r>
        <w:rPr>
          <w:rFonts w:ascii="Times New Roman;Times;Serif" w:hAnsi="Times New Roman;Times;Serif"/>
          <w:b w:val="false"/>
          <w:i w:val="false"/>
          <w:caps w:val="false"/>
          <w:smallCaps w:val="false"/>
          <w:sz w:val="20"/>
        </w:rPr>
        <w:t>SCHEDULE OF DILUTIVE SECURITIES EXCLUDED FROM DILUTED NET LOSS PER SHARE</w:t>
      </w:r>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0" w:name="xdx_49C_20250101__20251231_zBVDQj8zLA85"/>
            <w:bookmarkEnd w:id="740"/>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1" w:name="xdx_491_20240101__20241231_zBWbu5uSotS2"/>
            <w:bookmarkEnd w:id="741"/>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10"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742" w:name="xdx_40E_eus-gaap--ProfitLoss_ztTeaQvmIGw"/>
            <w:bookmarkEnd w:id="742"/>
          </w:p>
        </w:tc>
      </w:tr>
      <w:tr>
        <w:trPr/>
        <w:tc>
          <w:tcPr>
            <w:tcW w:w="7370" w:type="dxa"/>
            <w:tcBorders/>
            <w:shd w:fill="CCEEFF" w:val="clear"/>
            <w:vAlign w:val="center"/>
          </w:tcPr>
          <w:p>
            <w:pPr>
              <w:pStyle w:val="TableContents"/>
              <w:bidi w:val="0"/>
              <w:spacing w:before="0" w:after="283"/>
              <w:jc w:val="left"/>
              <w:rPr/>
            </w:pPr>
            <w:r>
              <w:rPr/>
              <w:t>Net loss attributable to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(19,528,742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(6,346,795</w:t>
            </w:r>
          </w:p>
        </w:tc>
        <w:tc>
          <w:tcPr>
            <w:tcW w:w="110" w:type="dxa"/>
            <w:tcBorders/>
            <w:shd w:fill="CCEEFF" w:val="clear"/>
            <w:vAlign w:val="center"/>
          </w:tcPr>
          <w:p>
            <w:pPr>
              <w:pStyle w:val="TableContents"/>
              <w:bidi w:val="0"/>
              <w:spacing w:before="0" w:after="283"/>
              <w:jc w:val="left"/>
              <w:rPr/>
            </w:pPr>
            <w:r>
              <w:rPr/>
              <w:t>)</w:t>
            </w:r>
            <w:bookmarkStart w:id="743" w:name="xdx_40C_eus-gaap--WeightedAverageNumberO"/>
            <w:bookmarkEnd w:id="743"/>
          </w:p>
        </w:tc>
      </w:tr>
      <w:tr>
        <w:trPr/>
        <w:tc>
          <w:tcPr>
            <w:tcW w:w="7370" w:type="dxa"/>
            <w:tcBorders/>
            <w:shd w:fill="FFFFFF" w:val="clear"/>
            <w:vAlign w:val="center"/>
          </w:tcPr>
          <w:p>
            <w:pPr>
              <w:pStyle w:val="TableContents"/>
              <w:bidi w:val="0"/>
              <w:spacing w:before="0" w:after="283"/>
              <w:jc w:val="left"/>
              <w:rPr/>
            </w:pPr>
            <w:r>
              <w:rPr/>
              <w:t>Basic 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2,407,817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361,587</w:t>
            </w:r>
          </w:p>
        </w:tc>
        <w:tc>
          <w:tcPr>
            <w:tcW w:w="110" w:type="dxa"/>
            <w:tcBorders/>
            <w:shd w:fill="FFFFFF" w:val="clear"/>
            <w:vAlign w:val="center"/>
          </w:tcPr>
          <w:p>
            <w:pPr>
              <w:pStyle w:val="TableContents"/>
              <w:bidi w:val="0"/>
              <w:spacing w:before="0" w:after="283"/>
              <w:jc w:val="left"/>
              <w:rPr/>
            </w:pPr>
            <w:r>
              <w:rPr/>
              <w:t> </w:t>
            </w:r>
            <w:bookmarkStart w:id="744" w:name="xdx_409_eus-gaap--WeightedAverageNumberD"/>
            <w:bookmarkEnd w:id="744"/>
          </w:p>
        </w:tc>
      </w:tr>
      <w:tr>
        <w:trPr/>
        <w:tc>
          <w:tcPr>
            <w:tcW w:w="7370" w:type="dxa"/>
            <w:tcBorders/>
            <w:shd w:fill="CCEEFF" w:val="clear"/>
            <w:vAlign w:val="center"/>
          </w:tcPr>
          <w:p>
            <w:pPr>
              <w:pStyle w:val="TableContents"/>
              <w:bidi w:val="0"/>
              <w:spacing w:before="0" w:after="283"/>
              <w:jc w:val="left"/>
              <w:rPr/>
            </w:pPr>
            <w:r>
              <w:rPr/>
              <w:t>Dilutive potential shares issuable from preferred stock, convertible debt, stock options and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45" w:name="xdx_407_eus-gaap--WeightedAverageNumberO"/>
            <w:bookmarkEnd w:id="745"/>
          </w:p>
        </w:tc>
      </w:tr>
      <w:tr>
        <w:trPr/>
        <w:tc>
          <w:tcPr>
            <w:tcW w:w="7370" w:type="dxa"/>
            <w:tcBorders/>
            <w:shd w:fill="FFFFFF" w:val="clear"/>
            <w:vAlign w:val="center"/>
          </w:tcPr>
          <w:p>
            <w:pPr>
              <w:pStyle w:val="TableContents"/>
              <w:bidi w:val="0"/>
              <w:spacing w:before="0" w:after="283"/>
              <w:jc w:val="left"/>
              <w:rPr/>
            </w:pPr>
            <w:r>
              <w:rPr/>
              <w:t>Diluted 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2,407,817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361,587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6" w:name="xdx_8A4_zUKrm3DulnFf"/>
      <w:bookmarkEnd w:id="7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7" w:name="xdx_89F_eus-gaap--ScheduleOfAntidilutive"/>
      <w:bookmarkEnd w:id="747"/>
      <w:r>
        <w:rPr>
          <w:rFonts w:ascii="Times New Roman;Times;Serif" w:hAnsi="Times New Roman;Times;Serif"/>
          <w:b w:val="false"/>
          <w:i w:val="false"/>
          <w:caps w:val="false"/>
          <w:smallCaps w:val="false"/>
          <w:sz w:val="20"/>
        </w:rPr>
        <w:t>These potentially dilutive securities have been excluded from diluted net loss per share as of December 31, 2025 and 2024 because their effect would be anti-dilutive:</w:t>
      </w:r>
    </w:p>
    <w:p>
      <w:pPr>
        <w:pStyle w:val="TextBody"/>
        <w:bidi w:val="0"/>
        <w:spacing w:before="0" w:after="0"/>
        <w:ind w:left="0" w:right="0" w:hanging="0"/>
        <w:jc w:val="left"/>
        <w:rPr>
          <w:caps w:val="false"/>
          <w:smallCaps w:val="false"/>
        </w:rPr>
      </w:pPr>
      <w:r>
        <w:rPr>
          <w:caps w:val="false"/>
          <w:smallCaps w:val="false"/>
        </w:rPr>
        <w:t> </w:t>
      </w:r>
      <w:bookmarkStart w:id="748" w:name="xdx_8B6_zFlU6S4pnRcj"/>
      <w:bookmarkEnd w:id="748"/>
      <w:r>
        <w:rPr>
          <w:rFonts w:ascii="Times New Roman;Times;Serif" w:hAnsi="Times New Roman;Times;Serif"/>
          <w:b w:val="false"/>
          <w:i w:val="false"/>
          <w:caps w:val="false"/>
          <w:smallCaps w:val="false"/>
          <w:sz w:val="20"/>
        </w:rPr>
        <w:t>SCHEDULE OF POTENTIALLY DILUTIVE SECURITIES</w:t>
      </w:r>
    </w:p>
    <w:tbl>
      <w:tblPr>
        <w:tblW w:w="10205" w:type="dxa"/>
        <w:jc w:val="left"/>
        <w:tblInd w:w="0" w:type="dxa"/>
        <w:tblLayout w:type="fixed"/>
        <w:tblCellMar>
          <w:top w:w="0" w:type="dxa"/>
          <w:left w:w="0" w:type="dxa"/>
          <w:bottom w:w="0" w:type="dxa"/>
          <w:right w:w="0" w:type="dxa"/>
        </w:tblCellMar>
      </w:tblPr>
      <w:tblGrid>
        <w:gridCol w:w="7750"/>
        <w:gridCol w:w="60"/>
        <w:gridCol w:w="60"/>
        <w:gridCol w:w="1100"/>
        <w:gridCol w:w="60"/>
        <w:gridCol w:w="60"/>
        <w:gridCol w:w="60"/>
        <w:gridCol w:w="980"/>
        <w:gridCol w:w="75"/>
      </w:tblGrid>
      <w:tr>
        <w:trPr/>
        <w:tc>
          <w:tcPr>
            <w:tcW w:w="7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9" w:name="xdx_490_20250101__20251231_z5yoJW8lQAs9"/>
            <w:bookmarkEnd w:id="749"/>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0" w:name="xdx_491_20240101__20241231_zW50769eZx73"/>
            <w:bookmarkEnd w:id="75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751" w:name="xdx_408_eus-gaap--AntidilutiveSecurities"/>
            <w:bookmarkEnd w:id="751"/>
          </w:p>
        </w:tc>
      </w:tr>
      <w:tr>
        <w:trPr/>
        <w:tc>
          <w:tcPr>
            <w:tcW w:w="7750" w:type="dxa"/>
            <w:tcBorders/>
            <w:shd w:fill="CCEEFF" w:val="clear"/>
            <w:vAlign w:val="center"/>
          </w:tcPr>
          <w:p>
            <w:pPr>
              <w:pStyle w:val="TableContents"/>
              <w:bidi w:val="0"/>
              <w:spacing w:before="0" w:after="283"/>
              <w:jc w:val="left"/>
              <w:rPr/>
            </w:pPr>
            <w:r>
              <w:rPr/>
              <w:t>Shares of common stock subject to outstanding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1,870</w:t>
            </w:r>
          </w:p>
        </w:tc>
        <w:tc>
          <w:tcPr>
            <w:tcW w:w="75" w:type="dxa"/>
            <w:tcBorders/>
            <w:shd w:fill="CCEEFF" w:val="clear"/>
            <w:vAlign w:val="center"/>
          </w:tcPr>
          <w:p>
            <w:pPr>
              <w:pStyle w:val="TableContents"/>
              <w:bidi w:val="0"/>
              <w:spacing w:before="0" w:after="283"/>
              <w:jc w:val="left"/>
              <w:rPr/>
            </w:pPr>
            <w:r>
              <w:rPr/>
              <w:t> </w:t>
            </w:r>
            <w:bookmarkStart w:id="752" w:name="xdx_407_eus-gaap--AntidilutiveSecurities"/>
            <w:bookmarkEnd w:id="752"/>
          </w:p>
        </w:tc>
      </w:tr>
      <w:tr>
        <w:trPr/>
        <w:tc>
          <w:tcPr>
            <w:tcW w:w="7750" w:type="dxa"/>
            <w:tcBorders/>
            <w:shd w:fill="FFFFFF" w:val="clear"/>
            <w:vAlign w:val="center"/>
          </w:tcPr>
          <w:p>
            <w:pPr>
              <w:pStyle w:val="TableContents"/>
              <w:bidi w:val="0"/>
              <w:spacing w:before="0" w:after="283"/>
              <w:jc w:val="left"/>
              <w:rPr/>
            </w:pPr>
            <w:r>
              <w:rPr/>
              <w:t>Shares of common stock subject to outstanding warrants (excluding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90,026</w:t>
            </w:r>
          </w:p>
        </w:tc>
        <w:tc>
          <w:tcPr>
            <w:tcW w:w="75" w:type="dxa"/>
            <w:tcBorders/>
            <w:shd w:fill="FFFFFF" w:val="clear"/>
            <w:vAlign w:val="center"/>
          </w:tcPr>
          <w:p>
            <w:pPr>
              <w:pStyle w:val="TableContents"/>
              <w:bidi w:val="0"/>
              <w:spacing w:before="0" w:after="283"/>
              <w:jc w:val="left"/>
              <w:rPr/>
            </w:pPr>
            <w:r>
              <w:rPr/>
              <w:t> </w:t>
            </w:r>
            <w:bookmarkStart w:id="753" w:name="xdx_400_eus-gaap--AntidilutiveSecurities"/>
            <w:bookmarkEnd w:id="753"/>
          </w:p>
        </w:tc>
      </w:tr>
      <w:tr>
        <w:trPr/>
        <w:tc>
          <w:tcPr>
            <w:tcW w:w="7750" w:type="dxa"/>
            <w:tcBorders/>
            <w:shd w:fill="CCEEFF" w:val="clear"/>
            <w:vAlign w:val="center"/>
          </w:tcPr>
          <w:p>
            <w:pPr>
              <w:pStyle w:val="TableContents"/>
              <w:bidi w:val="0"/>
              <w:spacing w:before="0" w:after="283"/>
              <w:jc w:val="left"/>
              <w:rPr/>
            </w:pPr>
            <w:r>
              <w:rPr/>
              <w:t>Shares of common stock subject to outstanding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18,051,425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3,437,363</w:t>
            </w:r>
          </w:p>
        </w:tc>
        <w:tc>
          <w:tcPr>
            <w:tcW w:w="75" w:type="dxa"/>
            <w:tcBorders/>
            <w:shd w:fill="CCEEFF" w:val="clear"/>
            <w:vAlign w:val="center"/>
          </w:tcPr>
          <w:p>
            <w:pPr>
              <w:pStyle w:val="TableContents"/>
              <w:bidi w:val="0"/>
              <w:spacing w:before="0" w:after="283"/>
              <w:jc w:val="left"/>
              <w:rPr/>
            </w:pPr>
            <w:r>
              <w:rPr/>
              <w:t> </w:t>
            </w:r>
            <w:bookmarkStart w:id="754" w:name="xdx_409_eus-gaap--AntidilutiveSecurities"/>
            <w:bookmarkEnd w:id="754"/>
          </w:p>
        </w:tc>
      </w:tr>
      <w:tr>
        <w:trPr/>
        <w:tc>
          <w:tcPr>
            <w:tcW w:w="7750" w:type="dxa"/>
            <w:tcBorders/>
            <w:shd w:fill="FFFFFF" w:val="clear"/>
            <w:vAlign w:val="center"/>
          </w:tcPr>
          <w:p>
            <w:pPr>
              <w:pStyle w:val="TableContents"/>
              <w:bidi w:val="0"/>
              <w:spacing w:before="0" w:after="283"/>
              <w:jc w:val="left"/>
              <w:rPr/>
            </w:pPr>
            <w:r>
              <w:rPr/>
              <w:t>Shares of common stock subject to outstanding convertible debt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55" w:name="xdx_40C_eus-gaap--AntidilutiveSecurities"/>
            <w:bookmarkEnd w:id="755"/>
          </w:p>
        </w:tc>
      </w:tr>
      <w:tr>
        <w:trPr/>
        <w:tc>
          <w:tcPr>
            <w:tcW w:w="7750" w:type="dxa"/>
            <w:tcBorders/>
            <w:shd w:fill="CCEEFF" w:val="clear"/>
            <w:vAlign w:val="center"/>
          </w:tcPr>
          <w:p>
            <w:pPr>
              <w:pStyle w:val="TableContents"/>
              <w:bidi w:val="0"/>
              <w:spacing w:before="0" w:after="283"/>
              <w:jc w:val="left"/>
              <w:rPr/>
            </w:pPr>
            <w:r>
              <w:rPr/>
              <w:t>Total common stock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18,628,514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3,529,259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6" w:name="xdx_8AA_zCsXotJKXZ8"/>
      <w:bookmarkEnd w:id="75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7" w:name="xdx_802_eus-gaap--CommitmentsAndContinge"/>
      <w:bookmarkEnd w:id="757"/>
      <w:r>
        <w:rPr>
          <w:rFonts w:ascii="Times New Roman;Times;Serif" w:hAnsi="Times New Roman;Times;Serif"/>
          <w:b/>
          <w:i w:val="false"/>
          <w:caps w:val="false"/>
          <w:smallCaps w:val="false"/>
          <w:sz w:val="20"/>
        </w:rPr>
        <w:t xml:space="preserve">NOTE 13 — </w:t>
      </w:r>
      <w:bookmarkStart w:id="758" w:name="xdx_824_zyAtw5phPjD2"/>
      <w:bookmarkEnd w:id="75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and Other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2025, the Company was named as a defendant in an action brought by LifeSci Capital LLC (“LifeSci”) in the U.S. District Court for the Southern District of New York. The complaint alleges that the Company failed to pay $</w:t>
      </w:r>
      <w:bookmarkStart w:id="759" w:name="xdx_907_eus-gaap--LitigationSettlementAm"/>
      <w:bookmarkEnd w:id="759"/>
      <w:r>
        <w:rPr>
          <w:rFonts w:ascii="Times New Roman;Times;Serif" w:hAnsi="Times New Roman;Times;Serif"/>
          <w:b w:val="false"/>
          <w:i w:val="false"/>
          <w:caps w:val="false"/>
          <w:smallCaps w:val="false"/>
          <w:sz w:val="20"/>
        </w:rPr>
        <w:t>503,483 in connection with offerings of the Company’s common stock that occurred during the tail period of the agreement, pursuant to an engagement under which the Company retained LifeSci to serve as its placement agent and financial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its answer on March 17, 2025, denying the material allegations in the complaint and asserting various affirmative defenses. On October 9, 2025 the matter was settled out of court and the Company agreed to pay Lifesci $</w:t>
      </w:r>
      <w:bookmarkStart w:id="760" w:name="xdx_900_eus-gaap--PaymentsForLegalSettle"/>
      <w:bookmarkEnd w:id="760"/>
      <w:r>
        <w:rPr>
          <w:rFonts w:ascii="Times New Roman;Times;Serif" w:hAnsi="Times New Roman;Times;Serif"/>
          <w:b w:val="false"/>
          <w:i w:val="false"/>
          <w:caps w:val="false"/>
          <w:smallCaps w:val="false"/>
          <w:sz w:val="20"/>
        </w:rPr>
        <w:t>75,000 to settle the outstanding claim, which was paid.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bookmarkStart w:id="761" w:name="xdx_80E_ecustom--ResearchAndLicenseAgree"/>
      <w:bookmarkEnd w:id="761"/>
      <w:r>
        <w:rPr>
          <w:rFonts w:ascii="Times New Roman;Times;Serif" w:hAnsi="Times New Roman;Times;Serif"/>
          <w:b/>
          <w:i w:val="false"/>
          <w:caps w:val="false"/>
          <w:smallCaps w:val="false"/>
          <w:sz w:val="20"/>
        </w:rPr>
        <w:t xml:space="preserve">NOTE 14 — </w:t>
      </w:r>
      <w:bookmarkStart w:id="762" w:name="xdx_821_zD912PYcOtp8"/>
      <w:bookmarkEnd w:id="762"/>
      <w:r>
        <w:rPr>
          <w:rFonts w:ascii="Times New Roman;Times;Serif" w:hAnsi="Times New Roman;Times;Serif"/>
          <w:b/>
          <w:i w:val="false"/>
          <w:caps w:val="false"/>
          <w:smallCaps w:val="false"/>
          <w:sz w:val="20"/>
        </w:rPr>
        <w:t>RESEARCH AND LICENSE AGREEMENTS</w:t>
      </w:r>
      <w:r>
        <w:rPr>
          <w:rFonts w:ascii="Times New Roman;Times;Serif" w:hAnsi="Times New Roman;Times;Serif"/>
          <w:b w:val="false"/>
          <w:i w:val="false"/>
          <w:caps w:val="false"/>
          <w:smallCaps w:val="false"/>
          <w:sz w:val="20"/>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UCL Business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Company entered into a License Agreement with UCL Business Limited to obtain an exclusive worldwide in-license of a genomic quadruplex (G4)-selective transcription inhibitor drug development program which had been developed at University College London, including lead and back-up compounds, preclinical data and a patent estate. (UCL Business Limited is the commercialization company for University College London.) The program’s lead compound is now being developed at the Company under the name QN-302 as a candidate for treatment for pancreatic ductal adenocarcinoma, which represents the vast majority of pancreatic cancers. The License Agreement required a $</w:t>
      </w:r>
      <w:bookmarkStart w:id="763" w:name="xdx_90F_ecustom--ReimbursementOfPatent_c"/>
      <w:bookmarkEnd w:id="763"/>
      <w:r>
        <w:rPr>
          <w:rFonts w:ascii="Times New Roman;Times;Serif" w:hAnsi="Times New Roman;Times;Serif"/>
          <w:b w:val="false"/>
          <w:i w:val="false"/>
          <w:caps w:val="false"/>
          <w:smallCaps w:val="false"/>
          <w:sz w:val="20"/>
        </w:rPr>
        <w:t>150,000 upfront payment, reimbursement of past patent prosecution expenses (approximately $</w:t>
      </w:r>
      <w:bookmarkStart w:id="764" w:name="xdx_900_ecustom--ReimbursementOfPatent_c"/>
      <w:bookmarkEnd w:id="764"/>
      <w:r>
        <w:rPr>
          <w:rFonts w:ascii="Times New Roman;Times;Serif" w:hAnsi="Times New Roman;Times;Serif"/>
          <w:b w:val="false"/>
          <w:i w:val="false"/>
          <w:caps w:val="false"/>
          <w:smallCaps w:val="false"/>
          <w:sz w:val="20"/>
        </w:rPr>
        <w:t>160,000), and (if and when applicable) tiered royalty payments in the low to mid-single digits, clinical/regulatory/sales milestone payments and a percentage of any non-royalty sublicensing consideration paid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there were license costs of $</w:t>
      </w:r>
      <w:bookmarkStart w:id="765" w:name="xdx_901_ecustom--LicenseCost_c20250101__"/>
      <w:bookmarkEnd w:id="765"/>
      <w:r>
        <w:rPr>
          <w:rFonts w:ascii="Times New Roman;Times;Serif" w:hAnsi="Times New Roman;Times;Serif"/>
          <w:b w:val="false"/>
          <w:i w:val="false"/>
          <w:caps w:val="false"/>
          <w:smallCaps w:val="false"/>
          <w:sz w:val="20"/>
        </w:rPr>
        <w:t>20,000 and $</w:t>
      </w:r>
      <w:bookmarkStart w:id="766" w:name="xdx_90B_ecustom--LicenseCost_c20240101__"/>
      <w:bookmarkEnd w:id="766"/>
      <w:r>
        <w:rPr>
          <w:rFonts w:ascii="Times New Roman;Times;Serif" w:hAnsi="Times New Roman;Times;Serif"/>
          <w:b w:val="false"/>
          <w:i w:val="false"/>
          <w:caps w:val="false"/>
          <w:smallCaps w:val="false"/>
          <w:sz w:val="20"/>
        </w:rPr>
        <w:t>2,000, respectively, related to this agreement which are included in research and development expenses in the consolidated statements of operations and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QN-302 Phase 1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entered into a Master Clinical Research Services Agreement with Translational Drug Development, LLC (“TD2”) whereby TD2 agreed to perform certain clinical research and development services for the Company including but not limited to trial management, side identification and selection, site monitoring/management, medical monitoring, project management, data collection, statistical programming or analysis, quality assurance auditing, scientific and medical communications, regulatory affairs consulting and submissions, strategic consulting, and/or other related services. From time to time, the Company may enter into statements of work with TD2 for the performance of specific services under this Master Clinical Research Services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entered into a Master Laboratory Services Agreement with MLM Medical Labs, LLC (“MLM”) whereby MLM agreed to perform certain clinical research and development services for the Company including but not limited to laboratory, supply, testing, validation, data management, and storage services. From time to time, the Company may enter into work orders with MLM for the performance of specific services under this Master Laboratory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entered into a Master Services Agreement with Clinigen Clinical Supplies Management, Inc. (“Clinigen”) whereby Clinigen agreed to provide certain pharmaceutical products and/or services. From time to time, the Company may enter into statements of work with Clinigen for the performance of specific services under this Master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pursuant to the above agreements, the Company entered into work orders and statements of work for clinical trial services for the conduct of the QN-302 Phase 1 study. Given our financial situation, the company slowed the development of the QN-302 Phase 1 Study beginning in the second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University of Louisville Research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2019, the Company entered into a sponsored research agreement and an option for a license agreement with University of Louisville Research Foundation, Inc. (“ULRF”) for development of several small-molecule RAS interaction inhibitor drug candidates. Under the terms of this agreement, the Company agreed to reimburse ULRF for sponsored research expenses of initially up to $</w:t>
      </w:r>
      <w:bookmarkStart w:id="767" w:name="xdx_909_ecustom--ReimbursementOfResearch"/>
      <w:bookmarkEnd w:id="767"/>
      <w:r>
        <w:rPr>
          <w:rFonts w:ascii="Times New Roman;Times;Serif" w:hAnsi="Times New Roman;Times;Serif"/>
          <w:b w:val="false"/>
          <w:i w:val="false"/>
          <w:caps w:val="false"/>
          <w:smallCaps w:val="false"/>
          <w:sz w:val="20"/>
        </w:rPr>
        <w:t>693,000 for this program. This agreement was amended in February 2021, March 2022 and August 2023, with the current term of this agreement expired in December 2023 and the aggregate amount that the Company would reimburse ULRF for sponsored research expenses increased to approximately $</w:t>
      </w:r>
      <w:bookmarkStart w:id="768" w:name="xdx_904_ecustom--ReimbursementOfResearch"/>
      <w:bookmarkEnd w:id="768"/>
      <w:r>
        <w:rPr>
          <w:rFonts w:ascii="Times New Roman;Times;Serif" w:hAnsi="Times New Roman;Times;Serif"/>
          <w:b w:val="false"/>
          <w:i w:val="false"/>
          <w:caps w:val="false"/>
          <w:smallCaps w:val="false"/>
          <w:sz w:val="20"/>
        </w:rPr>
        <w:t xml:space="preserve">2.9 million. </w:t>
      </w:r>
      <w:bookmarkStart w:id="769" w:name="xdx_90E_ecustom--AgreementTermPaymentDes"/>
      <w:bookmarkEnd w:id="769"/>
      <w:r>
        <w:rPr>
          <w:rFonts w:ascii="Times New Roman;Times;Serif" w:hAnsi="Times New Roman;Times;Serif"/>
          <w:b w:val="false"/>
          <w:i w:val="false"/>
          <w:caps w:val="false"/>
          <w:smallCaps w:val="false"/>
          <w:sz w:val="20"/>
        </w:rPr>
        <w:t>In July 2020, the Company entered into an exclusive license agreement with ULRF for RAS interaction inhibitor drug candidates. Under the agreement, the Company took over development, regulatory approval and commercialization of the candidates from ULRF and is responsible for maintenance of the related intellectual property portfolio. In return, ULRF received approximately $112,000 for an upfront license fee and reimbursement of prior patent costs. In addition, the Company has agreed to pay ULRF (i) royalties, on patent-covered net sales associated with the commercialization, of 4% (on net sales up to a cumulative $250,000,000) or 5% (on net sales above a cumulative $250,000,000), until expiration of the licensed patent, and 2.5% (on net sales for any sales not covered by Licensed Patents), (ii) 30% to 50% of any non-royalty sublicensee income received (50% for sublicenses granted in the first two years of the ULRF license agreement, 40% for sublicenses granted in the third or fourth years of the ULRF license agreement, and 30% for sublicenses granted in the fifth year of the ULRF license agreement or thereafter), (iii) reimbursements for ongoing costs associated with the preparation, filing, prosecution and maintenance of licensed patents, incurred prior to July 2020, and (iv) payments ranging from $</w:t>
      </w:r>
      <w:bookmarkStart w:id="770" w:name="xdx_907_ecustom--MilestonePayment_pp0p0_"/>
      <w:bookmarkEnd w:id="770"/>
      <w:r>
        <w:rPr>
          <w:rFonts w:ascii="Times New Roman;Times;Serif" w:hAnsi="Times New Roman;Times;Serif"/>
          <w:b w:val="false"/>
          <w:i w:val="false"/>
          <w:caps w:val="false"/>
          <w:smallCaps w:val="false"/>
          <w:sz w:val="20"/>
        </w:rPr>
        <w:t>50,000 to $</w:t>
      </w:r>
      <w:bookmarkStart w:id="771" w:name="xdx_906_ecustom--MilestonePayment_pp0p0_"/>
      <w:bookmarkEnd w:id="771"/>
      <w:r>
        <w:rPr>
          <w:rFonts w:ascii="Times New Roman;Times;Serif" w:hAnsi="Times New Roman;Times;Serif"/>
          <w:b w:val="false"/>
          <w:i w:val="false"/>
          <w:caps w:val="false"/>
          <w:smallCaps w:val="false"/>
          <w:sz w:val="20"/>
        </w:rPr>
        <w:t>5,000,000 upon the achievement of certain regulatory and commercial milestones. Milestone payments for the first therapeutic indication would be $</w:t>
      </w:r>
      <w:bookmarkStart w:id="772" w:name="xdx_90F_ecustom--MilestonePayment_pp0p0_"/>
      <w:bookmarkEnd w:id="772"/>
      <w:r>
        <w:rPr>
          <w:rFonts w:ascii="Times New Roman;Times;Serif" w:hAnsi="Times New Roman;Times;Serif"/>
          <w:b w:val="false"/>
          <w:i w:val="false"/>
          <w:caps w:val="false"/>
          <w:smallCaps w:val="false"/>
          <w:sz w:val="20"/>
        </w:rPr>
        <w:t>50,000 for first dosing in a Phase 1 clinical trial, $</w:t>
      </w:r>
      <w:bookmarkStart w:id="773" w:name="xdx_906_ecustom--MilestonePayment_c20200"/>
      <w:bookmarkEnd w:id="773"/>
      <w:r>
        <w:rPr>
          <w:rFonts w:ascii="Times New Roman;Times;Serif" w:hAnsi="Times New Roman;Times;Serif"/>
          <w:b w:val="false"/>
          <w:i w:val="false"/>
          <w:caps w:val="false"/>
          <w:smallCaps w:val="false"/>
          <w:sz w:val="20"/>
        </w:rPr>
        <w:t>100,000 for first dosing in a Phase 2 clinical trial, $</w:t>
      </w:r>
      <w:bookmarkStart w:id="774" w:name="xdx_900_ecustom--MilestonePayment_c20200"/>
      <w:bookmarkEnd w:id="774"/>
      <w:r>
        <w:rPr>
          <w:rFonts w:ascii="Times New Roman;Times;Serif" w:hAnsi="Times New Roman;Times;Serif"/>
          <w:b w:val="false"/>
          <w:i w:val="false"/>
          <w:caps w:val="false"/>
          <w:smallCaps w:val="false"/>
          <w:sz w:val="20"/>
        </w:rPr>
        <w:t>150,000 for first dosing in a Phase 3 clinical trial, $</w:t>
      </w:r>
      <w:bookmarkStart w:id="775" w:name="xdx_90F_ecustom--CumulativeSalesOne_pp0p"/>
      <w:bookmarkEnd w:id="775"/>
      <w:r>
        <w:rPr>
          <w:rFonts w:ascii="Times New Roman;Times;Serif" w:hAnsi="Times New Roman;Times;Serif"/>
          <w:b w:val="false"/>
          <w:i w:val="false"/>
          <w:caps w:val="false"/>
          <w:smallCaps w:val="false"/>
          <w:sz w:val="20"/>
        </w:rPr>
        <w:t>300,000 for regulatory marketing approval and $</w:t>
      </w:r>
      <w:bookmarkStart w:id="776" w:name="xdx_900_ecustom--CumulativeSales_pp0p0_c"/>
      <w:bookmarkEnd w:id="776"/>
      <w:r>
        <w:rPr>
          <w:rFonts w:ascii="Times New Roman;Times;Serif" w:hAnsi="Times New Roman;Times;Serif"/>
          <w:b w:val="false"/>
          <w:i w:val="false"/>
          <w:caps w:val="false"/>
          <w:smallCaps w:val="false"/>
          <w:sz w:val="20"/>
        </w:rPr>
        <w:t>5,000,000 upon achieving a cumulative $</w:t>
      </w:r>
      <w:bookmarkStart w:id="777" w:name="xdx_908_eus-gaap--RevenueFromContractWit"/>
      <w:bookmarkEnd w:id="777"/>
      <w:r>
        <w:rPr>
          <w:rFonts w:ascii="Times New Roman;Times;Serif" w:hAnsi="Times New Roman;Times;Serif"/>
          <w:b w:val="false"/>
          <w:i w:val="false"/>
          <w:caps w:val="false"/>
          <w:smallCaps w:val="false"/>
          <w:sz w:val="20"/>
        </w:rPr>
        <w:t>500,000,000 of Licensed Product sales. The Company also must pay ULRF shortfall payments if the total amounts actually paid with respect to royalties and non-royalty sublicensee income for any year is less than the applicable annual minimum (ranging from $</w:t>
      </w:r>
      <w:bookmarkStart w:id="778" w:name="xdx_90A_ecustom--UpfrontLicenseFee_iI_pp"/>
      <w:bookmarkEnd w:id="778"/>
      <w:r>
        <w:rPr>
          <w:rFonts w:ascii="Times New Roman;Times;Serif" w:hAnsi="Times New Roman;Times;Serif"/>
          <w:b w:val="false"/>
          <w:i w:val="false"/>
          <w:caps w:val="false"/>
          <w:smallCaps w:val="false"/>
          <w:sz w:val="20"/>
        </w:rPr>
        <w:t>20,000 to $</w:t>
      </w:r>
      <w:bookmarkStart w:id="779" w:name="xdx_90D_ecustom--UpfrontLicenseFee_iI_pp"/>
      <w:bookmarkEnd w:id="779"/>
      <w:r>
        <w:rPr>
          <w:rFonts w:ascii="Times New Roman;Times;Serif" w:hAnsi="Times New Roman;Times;Serif"/>
          <w:b w:val="false"/>
          <w:i w:val="false"/>
          <w:caps w:val="false"/>
          <w:smallCaps w:val="false"/>
          <w:sz w:val="20"/>
        </w:rPr>
        <w:t>100,000) for such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80" w:name="xdx_908_eus-gaap--ResearchAndDevelopment"/>
      <w:bookmarkStart w:id="781" w:name="xdx_901_eus-gaap--ResearchAndDevelopment"/>
      <w:bookmarkEnd w:id="780"/>
      <w:bookmarkEnd w:id="781"/>
      <w:r>
        <w:rPr>
          <w:rFonts w:ascii="Times New Roman;Times;Serif" w:hAnsi="Times New Roman;Times;Serif"/>
          <w:b w:val="false"/>
          <w:i w:val="false"/>
          <w:caps w:val="false"/>
          <w:smallCaps w:val="false"/>
          <w:sz w:val="20"/>
        </w:rPr>
        <w:t>no sponsored research expenses related to these agreements for the years ended December 31, 2025 and 2024. License costs were approximately $</w:t>
      </w:r>
      <w:bookmarkStart w:id="782" w:name="xdx_905_ecustom--LicenseCost_c20250101__"/>
      <w:bookmarkEnd w:id="782"/>
      <w:r>
        <w:rPr>
          <w:rFonts w:ascii="Times New Roman;Times;Serif" w:hAnsi="Times New Roman;Times;Serif"/>
          <w:b w:val="false"/>
          <w:i w:val="false"/>
          <w:caps w:val="false"/>
          <w:smallCaps w:val="false"/>
          <w:sz w:val="20"/>
        </w:rPr>
        <w:t>0 and $</w:t>
      </w:r>
      <w:bookmarkStart w:id="783" w:name="xdx_902_ecustom--LicenseCost_c20240101__"/>
      <w:bookmarkEnd w:id="783"/>
      <w:r>
        <w:rPr>
          <w:rFonts w:ascii="Times New Roman;Times;Serif" w:hAnsi="Times New Roman;Times;Serif"/>
          <w:b w:val="false"/>
          <w:i w:val="false"/>
          <w:caps w:val="false"/>
          <w:smallCaps w:val="false"/>
          <w:sz w:val="20"/>
        </w:rPr>
        <w:t>68,000 related to these agreements for the years ended December 31, 2025 and 2024, respectively and are included in research and development expenses in the condensed consolidated statements of operations and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June 2018 and April 2022, the Company entered into license and sponsored research agreements with ULRF for QN-247, a novel aptamer-based compound that has shown promise as an anticancer drug. </w:t>
      </w:r>
      <w:bookmarkStart w:id="784" w:name="xdx_90E_ecustom--AgreementTermPaymentDes"/>
      <w:bookmarkEnd w:id="784"/>
      <w:r>
        <w:rPr>
          <w:rFonts w:ascii="Times New Roman;Times;Serif" w:hAnsi="Times New Roman;Times;Serif"/>
          <w:b w:val="false"/>
          <w:i w:val="false"/>
          <w:caps w:val="false"/>
          <w:smallCaps w:val="false"/>
          <w:sz w:val="20"/>
        </w:rPr>
        <w:t>Under the agreements, the Company took over development, regulatory approval and commercialization of the compound from ULRF and is responsible for maintenance of the related intellectual property portfolio. In return, ULRF received a $</w:t>
      </w:r>
      <w:bookmarkStart w:id="785" w:name="xdx_90E_eus-gaap--ProceedsFromConvertibl"/>
      <w:bookmarkEnd w:id="785"/>
      <w:r>
        <w:rPr>
          <w:rFonts w:ascii="Times New Roman;Times;Serif" w:hAnsi="Times New Roman;Times;Serif"/>
          <w:b w:val="false"/>
          <w:i w:val="false"/>
          <w:caps w:val="false"/>
          <w:smallCaps w:val="false"/>
          <w:sz w:val="20"/>
        </w:rPr>
        <w:t>50,000 convertible promissory note in payment of an upfront license fee, which was subsequently converted into the Company’s common stock, and the Company agreed to reimburse ULRF for sponsored research expenses of up to approximately $</w:t>
      </w:r>
      <w:bookmarkStart w:id="786" w:name="xdx_905_ecustom--ReimbursementOfResearch"/>
      <w:bookmarkEnd w:id="786"/>
      <w:r>
        <w:rPr>
          <w:rFonts w:ascii="Times New Roman;Times;Serif" w:hAnsi="Times New Roman;Times;Serif"/>
          <w:b w:val="false"/>
          <w:i w:val="false"/>
          <w:caps w:val="false"/>
          <w:smallCaps w:val="false"/>
          <w:sz w:val="20"/>
        </w:rPr>
        <w:t>805,000 and prior patent costs of up to $</w:t>
      </w:r>
      <w:bookmarkStart w:id="787" w:name="xdx_90D_ecustom--PatentCosts_pp0p0_c2018"/>
      <w:bookmarkEnd w:id="787"/>
      <w:r>
        <w:rPr>
          <w:rFonts w:ascii="Times New Roman;Times;Serif" w:hAnsi="Times New Roman;Times;Serif"/>
          <w:b w:val="false"/>
          <w:i w:val="false"/>
          <w:caps w:val="false"/>
          <w:smallCaps w:val="false"/>
          <w:sz w:val="20"/>
        </w:rPr>
        <w:t>200,000. In addition, the Company agreed to pay ULRF (i) royalties, on patent-covered net sales associated with the commercialization of anti-nucleolin agent-conjugated nanoparticles, of 4% (on net sales up to a cumulative $250,000,000) or 5% (on net sales above a cumulative $250,000,000), until expiration of the last to expire of the licensed patents, (ii) 30% to 50% of any non-royalty sublicensee income received (50% for sublicenses granted in the first two years of the ULRF license agreement, 40% for sublicenses granted in the third or fourth years of the ULRF license agreement, and 30% for sublicenses granted in the fifth year of the ULRF license agreement or thereafter), (iii) reimbursements for ongoing costs associated with the preparation, filing, prosecution and maintenance of licensed patents, incurred prior to June 2018, and (iv) payments ranging from $</w:t>
      </w:r>
      <w:bookmarkStart w:id="788" w:name="xdx_90E_ecustom--MilestonePayment_pp0p0_"/>
      <w:bookmarkEnd w:id="788"/>
      <w:r>
        <w:rPr>
          <w:rFonts w:ascii="Times New Roman;Times;Serif" w:hAnsi="Times New Roman;Times;Serif"/>
          <w:b w:val="false"/>
          <w:i w:val="false"/>
          <w:caps w:val="false"/>
          <w:smallCaps w:val="false"/>
          <w:sz w:val="20"/>
        </w:rPr>
        <w:t>100,000 to $</w:t>
      </w:r>
      <w:bookmarkStart w:id="789" w:name="xdx_90B_ecustom--MilestonePayment_pp0p0_"/>
      <w:bookmarkEnd w:id="789"/>
      <w:r>
        <w:rPr>
          <w:rFonts w:ascii="Times New Roman;Times;Serif" w:hAnsi="Times New Roman;Times;Serif"/>
          <w:b w:val="false"/>
          <w:i w:val="false"/>
          <w:caps w:val="false"/>
          <w:smallCaps w:val="false"/>
          <w:sz w:val="20"/>
        </w:rPr>
        <w:t>5,000,000 upon the achievement of certain regulatory and commercial milestones. Milestone payments for the first therapeutic indication would be $</w:t>
      </w:r>
      <w:bookmarkStart w:id="790" w:name="xdx_90A_ecustom--MilestonePayment_pp0p0_"/>
      <w:bookmarkEnd w:id="790"/>
      <w:r>
        <w:rPr>
          <w:rFonts w:ascii="Times New Roman;Times;Serif" w:hAnsi="Times New Roman;Times;Serif"/>
          <w:b w:val="false"/>
          <w:i w:val="false"/>
          <w:caps w:val="false"/>
          <w:smallCaps w:val="false"/>
          <w:sz w:val="20"/>
        </w:rPr>
        <w:t>100,000 for first dosing in a Phase 1 clinical trial, $</w:t>
      </w:r>
      <w:bookmarkStart w:id="791" w:name="xdx_900_ecustom--MilestonePayment_pp0p0_"/>
      <w:bookmarkEnd w:id="791"/>
      <w:r>
        <w:rPr>
          <w:rFonts w:ascii="Times New Roman;Times;Serif" w:hAnsi="Times New Roman;Times;Serif"/>
          <w:b w:val="false"/>
          <w:i w:val="false"/>
          <w:caps w:val="false"/>
          <w:smallCaps w:val="false"/>
          <w:sz w:val="20"/>
        </w:rPr>
        <w:t>200,000 for first dosing in a Phase 2 clinical trial, $</w:t>
      </w:r>
      <w:bookmarkStart w:id="792" w:name="xdx_90E_ecustom--MilestonePayment_pp0p0_"/>
      <w:bookmarkEnd w:id="792"/>
      <w:r>
        <w:rPr>
          <w:rFonts w:ascii="Times New Roman;Times;Serif" w:hAnsi="Times New Roman;Times;Serif"/>
          <w:b w:val="false"/>
          <w:i w:val="false"/>
          <w:caps w:val="false"/>
          <w:smallCaps w:val="false"/>
          <w:sz w:val="20"/>
        </w:rPr>
        <w:t>350,000 for first dosing in a Phase 3 clinical trial, $</w:t>
      </w:r>
      <w:bookmarkStart w:id="793" w:name="xdx_900_ecustom--RegulatoryMarketingAppr"/>
      <w:bookmarkEnd w:id="793"/>
      <w:r>
        <w:rPr>
          <w:rFonts w:ascii="Times New Roman;Times;Serif" w:hAnsi="Times New Roman;Times;Serif"/>
          <w:b w:val="false"/>
          <w:i w:val="false"/>
          <w:caps w:val="false"/>
          <w:smallCaps w:val="false"/>
          <w:sz w:val="20"/>
        </w:rPr>
        <w:t>500,000 for regulatory marketing approval and $</w:t>
      </w:r>
      <w:bookmarkStart w:id="794" w:name="xdx_90F_ecustom--CumulativeSales_pp0p0_c"/>
      <w:bookmarkEnd w:id="794"/>
      <w:r>
        <w:rPr>
          <w:rFonts w:ascii="Times New Roman;Times;Serif" w:hAnsi="Times New Roman;Times;Serif"/>
          <w:b w:val="false"/>
          <w:i w:val="false"/>
          <w:caps w:val="false"/>
          <w:smallCaps w:val="false"/>
          <w:sz w:val="20"/>
        </w:rPr>
        <w:t>5,000,000 upon achieving a cumulative $</w:t>
      </w:r>
      <w:bookmarkStart w:id="795" w:name="xdx_902_eus-gaap--RevenueFromContractWit"/>
      <w:bookmarkEnd w:id="795"/>
      <w:r>
        <w:rPr>
          <w:rFonts w:ascii="Times New Roman;Times;Serif" w:hAnsi="Times New Roman;Times;Serif"/>
          <w:b w:val="false"/>
          <w:i w:val="false"/>
          <w:caps w:val="false"/>
          <w:smallCaps w:val="false"/>
          <w:sz w:val="20"/>
        </w:rPr>
        <w:t>500,000,000 of Licensed Product sales. The Company also agreed to pay another $</w:t>
      </w:r>
      <w:bookmarkStart w:id="796" w:name="xdx_90E_ecustom--RegulatoryMarketingAppr"/>
      <w:bookmarkEnd w:id="796"/>
      <w:r>
        <w:rPr>
          <w:rFonts w:ascii="Times New Roman;Times;Serif" w:hAnsi="Times New Roman;Times;Serif"/>
          <w:b w:val="false"/>
          <w:i w:val="false"/>
          <w:caps w:val="false"/>
          <w:smallCaps w:val="false"/>
          <w:sz w:val="20"/>
        </w:rPr>
        <w:t>500,000 milestone payment for any additional regulatory marketing approval for each additional therapeutic (or diagnostic) indication. The Company must also pay ULRF shortfall payments if the total amounts actually paid with respect to royalties and non-royalty sublicensee income for any year is less than the applicable annual minimum (ranging from $</w:t>
      </w:r>
      <w:bookmarkStart w:id="797" w:name="xdx_908_ecustom--ShortfallPayments_pp0p0"/>
      <w:bookmarkEnd w:id="797"/>
      <w:r>
        <w:rPr>
          <w:rFonts w:ascii="Times New Roman;Times;Serif" w:hAnsi="Times New Roman;Times;Serif"/>
          <w:b w:val="false"/>
          <w:i w:val="false"/>
          <w:caps w:val="false"/>
          <w:smallCaps w:val="false"/>
          <w:sz w:val="20"/>
        </w:rPr>
        <w:t>10,000 to $</w:t>
      </w:r>
      <w:bookmarkStart w:id="798" w:name="xdx_905_ecustom--ShortfallPayments_c2018"/>
      <w:bookmarkEnd w:id="798"/>
      <w:r>
        <w:rPr>
          <w:rFonts w:ascii="Times New Roman;Times;Serif" w:hAnsi="Times New Roman;Times;Serif"/>
          <w:b w:val="false"/>
          <w:i w:val="false"/>
          <w:caps w:val="false"/>
          <w:smallCaps w:val="false"/>
          <w:sz w:val="20"/>
        </w:rPr>
        <w:t>50,000) for such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sponsored research agreement for QN-247 expired in August 2022 and there were </w:t>
      </w:r>
      <w:bookmarkStart w:id="799" w:name="xdx_905_eus-gaap--ResearchAndDevelopment"/>
      <w:bookmarkStart w:id="800" w:name="xdx_909_eus-gaap--ResearchAndDevelopment"/>
      <w:bookmarkEnd w:id="799"/>
      <w:bookmarkEnd w:id="800"/>
      <w:r>
        <w:rPr>
          <w:rFonts w:ascii="Times New Roman;Times;Serif" w:hAnsi="Times New Roman;Times;Serif"/>
          <w:b w:val="false"/>
          <w:i w:val="false"/>
          <w:caps w:val="false"/>
          <w:smallCaps w:val="false"/>
          <w:sz w:val="20"/>
        </w:rPr>
        <w:t>no sponsored research expenses related to these agreements for the years ended December 31, 2025 and 2024. License costs related to these agreements for the years ended December 31, 2025 and 2024 were approximately $</w:t>
      </w:r>
      <w:bookmarkStart w:id="801" w:name="xdx_909_ecustom--LicenseCost_c20250101__"/>
      <w:bookmarkEnd w:id="801"/>
      <w:r>
        <w:rPr>
          <w:rFonts w:ascii="Times New Roman;Times;Serif" w:hAnsi="Times New Roman;Times;Serif"/>
          <w:b w:val="false"/>
          <w:i w:val="false"/>
          <w:caps w:val="false"/>
          <w:smallCaps w:val="false"/>
          <w:sz w:val="20"/>
        </w:rPr>
        <w:t xml:space="preserve">0 and </w:t>
      </w:r>
      <w:bookmarkStart w:id="802" w:name="xdx_903_ecustom--LicenseCost_c20240101__"/>
      <w:bookmarkEnd w:id="802"/>
      <w:r>
        <w:rPr>
          <w:rFonts w:ascii="Times New Roman;Times;Serif" w:hAnsi="Times New Roman;Times;Serif"/>
          <w:b w:val="false"/>
          <w:i w:val="false"/>
          <w:caps w:val="false"/>
          <w:smallCaps w:val="false"/>
          <w:sz w:val="20"/>
        </w:rPr>
        <w:t>1,000, respectively, and are included in research and development expenses in the consolidated statements of operations and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with the ULRF were terminated in August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Marizyme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11, 2024, we entered into a Co-Development Agreement with Marizyme. Under the Co-Development Agreement (as amended), </w:t>
      </w:r>
      <w:bookmarkStart w:id="803" w:name="xdx_90E_eus-gaap--ResearchAndDevelopment"/>
      <w:bookmarkEnd w:id="803"/>
      <w:r>
        <w:rPr>
          <w:rFonts w:ascii="Times New Roman;Times;Serif" w:hAnsi="Times New Roman;Times;Serif"/>
          <w:b w:val="false"/>
          <w:i w:val="false"/>
          <w:caps w:val="false"/>
          <w:smallCaps w:val="false"/>
          <w:sz w:val="20"/>
        </w:rPr>
        <w:t>we agreed to pay Marizyme funding payments and an exclusivity fee of $</w:t>
      </w:r>
      <w:bookmarkStart w:id="804" w:name="xdx_905_eus-gaap--DebtInstrumentFeeAmoun"/>
      <w:bookmarkEnd w:id="804"/>
      <w:r>
        <w:rPr>
          <w:rFonts w:ascii="Times New Roman;Times;Serif" w:hAnsi="Times New Roman;Times;Serif"/>
          <w:b w:val="false"/>
          <w:i w:val="false"/>
          <w:caps w:val="false"/>
          <w:smallCaps w:val="false"/>
          <w:sz w:val="20"/>
        </w:rPr>
        <w:t>200,000. The Exclusivity Fee of $</w:t>
      </w:r>
      <w:bookmarkStart w:id="805" w:name="xdx_909_eus-gaap--DebtInstrumentFeeAmoun"/>
      <w:bookmarkEnd w:id="805"/>
      <w:r>
        <w:rPr>
          <w:rFonts w:ascii="Times New Roman;Times;Serif" w:hAnsi="Times New Roman;Times;Serif"/>
          <w:b w:val="false"/>
          <w:i w:val="false"/>
          <w:caps w:val="false"/>
          <w:smallCaps w:val="false"/>
          <w:sz w:val="20"/>
        </w:rPr>
        <w:t>200,000 and a funding payment of $</w:t>
      </w:r>
      <w:bookmarkStart w:id="806" w:name="xdx_903_eus-gaap--DebtInstrumentFaceAmou"/>
      <w:bookmarkEnd w:id="806"/>
      <w:r>
        <w:rPr>
          <w:rFonts w:ascii="Times New Roman;Times;Serif" w:hAnsi="Times New Roman;Times;Serif"/>
          <w:b w:val="false"/>
          <w:i w:val="false"/>
          <w:caps w:val="false"/>
          <w:smallCaps w:val="false"/>
          <w:sz w:val="20"/>
        </w:rPr>
        <w:t>500,000 was paid to Marizyme on April 12, 2024, and is included in research and development expenses in the consolidated statements of operations and other comprehensive loss. The Exclusivity Fee entitled us to an exclusivity period until May 31, 2024 for purposes of proposing and outlining a broader strategic relationship with Marizyme with regard to Marizyme’s DuraGraft business. The funding payments are designed to provide financial support for commercialization of Marizyme’s DuraGraft™ vascular conduit solution, which is indicated for adult patients undergoing coronary artery bypass grafting surgeries and is intended for the flushing and storage of the saphenous vein grafts used in coronary artery bypass grafting surgery. In return for the funding payments we will receive quarterly a 33% payment in the nature of royalties on any Net Sales  (as defined with a meaning tantamount to gross profit on net sales) of DuraGraft, capped at double the amount of the funding payments provided. No such payments-in-the-nature-of-royalties would accrue until after DuraGraft has been launched in the United States and a cumulative total of $500,000 of DuraGraft Net Sales have been made in the United States. As of the year ended December 31, 2025, these conditions have not been met and no royalty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7" w:name="xdx_80C_eus-gaap--StockholdersEquityNote"/>
      <w:bookmarkEnd w:id="807"/>
      <w:r>
        <w:rPr>
          <w:rFonts w:ascii="Times New Roman;Times;Serif" w:hAnsi="Times New Roman;Times;Serif"/>
          <w:b/>
          <w:i w:val="false"/>
          <w:caps w:val="false"/>
          <w:smallCaps w:val="false"/>
          <w:sz w:val="20"/>
        </w:rPr>
        <w:t xml:space="preserve">NOTE 15 — </w:t>
      </w:r>
      <w:bookmarkStart w:id="808" w:name="xdx_82D_zbkMKhREcEPi"/>
      <w:bookmarkEnd w:id="808"/>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two classes of authorized capital stock: common stock and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generally vote as a class with the holders of the preferred stock and are entitled to one vote for each share held. Subject to the rights of the holders of the preferred stock to receive preferential dividends, the holders of common stock are entitled to receive dividends when and if declared by the Board of Directors. Following payment of the liquidation preference of the preferred stock, any remaining assets will be distributed ratably among the holders of the common stock and, on an as-if-converted basis, the holders of any preferred stock upon liquidation, dissolution or winding up of the affairs of the Company. The holders of common stock have no preemptive, subscription or conversion rights and there are no redemption or sinking fund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the Company has reserved </w:t>
      </w:r>
      <w:bookmarkStart w:id="809" w:name="xdx_900_eus-gaap--CommonStockCapitalShar"/>
      <w:bookmarkEnd w:id="809"/>
      <w:r>
        <w:rPr>
          <w:rFonts w:ascii="Times New Roman;Times;Serif" w:hAnsi="Times New Roman;Times;Serif"/>
          <w:b w:val="false"/>
          <w:i w:val="false"/>
          <w:caps w:val="false"/>
          <w:smallCaps w:val="false"/>
          <w:sz w:val="20"/>
        </w:rPr>
        <w:t>19,350,388 shares of authorized but unissued common stock for possible future issuance as follows:</w:t>
      </w:r>
    </w:p>
    <w:p>
      <w:pPr>
        <w:pStyle w:val="TextBody"/>
        <w:bidi w:val="0"/>
        <w:spacing w:before="0" w:after="0"/>
        <w:ind w:left="0" w:right="0" w:hanging="0"/>
        <w:jc w:val="both"/>
        <w:rPr>
          <w:caps w:val="false"/>
          <w:smallCaps w:val="false"/>
        </w:rPr>
      </w:pPr>
      <w:bookmarkStart w:id="810" w:name="xdx_894_eus-gaap--ScheduleOfWeightedAver"/>
      <w:bookmarkEnd w:id="810"/>
      <w:r>
        <w:rPr>
          <w:caps w:val="false"/>
          <w:smallCaps w:val="false"/>
        </w:rPr>
        <w:t> </w:t>
      </w:r>
      <w:bookmarkStart w:id="811" w:name="xdx_8BF_zvEWougXahhk"/>
      <w:bookmarkEnd w:id="811"/>
      <w:r>
        <w:rPr>
          <w:rFonts w:ascii="Times New Roman;Times;Serif" w:hAnsi="Times New Roman;Times;Serif"/>
          <w:b w:val="false"/>
          <w:i w:val="false"/>
          <w:caps w:val="false"/>
          <w:smallCaps w:val="false"/>
          <w:sz w:val="20"/>
        </w:rPr>
        <w:t>SCHEDULE OF RESERVED SHARES</w:t>
      </w:r>
    </w:p>
    <w:tbl>
      <w:tblPr>
        <w:tblW w:w="6250" w:type="dxa"/>
        <w:jc w:val="left"/>
        <w:tblInd w:w="0" w:type="dxa"/>
        <w:tblLayout w:type="fixed"/>
        <w:tblCellMar>
          <w:top w:w="0" w:type="dxa"/>
          <w:left w:w="0" w:type="dxa"/>
          <w:bottom w:w="0" w:type="dxa"/>
          <w:right w:w="0" w:type="dxa"/>
        </w:tblCellMar>
      </w:tblPr>
      <w:tblGrid>
        <w:gridCol w:w="4955"/>
        <w:gridCol w:w="60"/>
        <w:gridCol w:w="60"/>
        <w:gridCol w:w="1100"/>
        <w:gridCol w:w="75"/>
      </w:tblGrid>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12" w:name="xdx_49E_20251231_zOpA3C8T3yml"/>
            <w:bookmarkEnd w:id="812"/>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13" w:name="xdx_40A_eus-gaap--CommonStockCapitalShar"/>
            <w:bookmarkEnd w:id="813"/>
          </w:p>
        </w:tc>
      </w:tr>
      <w:tr>
        <w:trPr/>
        <w:tc>
          <w:tcPr>
            <w:tcW w:w="4955" w:type="dxa"/>
            <w:tcBorders/>
            <w:shd w:fill="CCEEFF" w:val="clear"/>
            <w:vAlign w:val="center"/>
          </w:tcPr>
          <w:p>
            <w:pPr>
              <w:pStyle w:val="TableContents"/>
              <w:bidi w:val="0"/>
              <w:spacing w:before="0" w:after="283"/>
              <w:jc w:val="left"/>
              <w:rPr/>
            </w:pPr>
            <w:r>
              <w:rPr/>
              <w:t>Exercise of issued and future grants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13,544</w:t>
            </w:r>
          </w:p>
        </w:tc>
        <w:tc>
          <w:tcPr>
            <w:tcW w:w="75" w:type="dxa"/>
            <w:tcBorders/>
            <w:shd w:fill="CCEEFF" w:val="clear"/>
            <w:vAlign w:val="center"/>
          </w:tcPr>
          <w:p>
            <w:pPr>
              <w:pStyle w:val="TableContents"/>
              <w:bidi w:val="0"/>
              <w:spacing w:before="0" w:after="283"/>
              <w:jc w:val="left"/>
              <w:rPr/>
            </w:pPr>
            <w:r>
              <w:rPr/>
              <w:t> </w:t>
            </w:r>
            <w:bookmarkStart w:id="814" w:name="xdx_409_eus-gaap--CommonStockCapitalShar"/>
            <w:bookmarkEnd w:id="814"/>
          </w:p>
        </w:tc>
      </w:tr>
      <w:tr>
        <w:trPr/>
        <w:tc>
          <w:tcPr>
            <w:tcW w:w="4955" w:type="dxa"/>
            <w:tcBorders/>
            <w:shd w:fill="FFFFFF" w:val="clear"/>
            <w:vAlign w:val="center"/>
          </w:tcPr>
          <w:p>
            <w:pPr>
              <w:pStyle w:val="TableContents"/>
              <w:bidi w:val="0"/>
              <w:spacing w:before="0" w:after="283"/>
              <w:jc w:val="left"/>
              <w:rPr/>
            </w:pPr>
            <w:r>
              <w:rPr/>
              <w:t>Conversion of Series A-2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267,364</w:t>
            </w:r>
          </w:p>
        </w:tc>
        <w:tc>
          <w:tcPr>
            <w:tcW w:w="75" w:type="dxa"/>
            <w:tcBorders/>
            <w:shd w:fill="FFFFFF" w:val="clear"/>
            <w:vAlign w:val="center"/>
          </w:tcPr>
          <w:p>
            <w:pPr>
              <w:pStyle w:val="TableContents"/>
              <w:bidi w:val="0"/>
              <w:spacing w:before="0" w:after="283"/>
              <w:jc w:val="left"/>
              <w:rPr/>
            </w:pPr>
            <w:r>
              <w:rPr/>
              <w:t> </w:t>
            </w:r>
            <w:bookmarkStart w:id="815" w:name="xdx_403_eus-gaap--CommonStockCapitalShar"/>
            <w:bookmarkEnd w:id="815"/>
          </w:p>
        </w:tc>
      </w:tr>
      <w:tr>
        <w:trPr/>
        <w:tc>
          <w:tcPr>
            <w:tcW w:w="4955" w:type="dxa"/>
            <w:tcBorders/>
            <w:shd w:fill="CCEEFF" w:val="clear"/>
            <w:vAlign w:val="center"/>
          </w:tcPr>
          <w:p>
            <w:pPr>
              <w:pStyle w:val="TableContents"/>
              <w:bidi w:val="0"/>
              <w:spacing w:before="0" w:after="283"/>
              <w:jc w:val="left"/>
              <w:rPr/>
            </w:pPr>
            <w:r>
              <w:rPr/>
              <w:t>Conversion of Series B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17,784,061</w:t>
            </w:r>
          </w:p>
        </w:tc>
        <w:tc>
          <w:tcPr>
            <w:tcW w:w="75" w:type="dxa"/>
            <w:tcBorders/>
            <w:shd w:fill="CCEEFF" w:val="clear"/>
            <w:vAlign w:val="center"/>
          </w:tcPr>
          <w:p>
            <w:pPr>
              <w:pStyle w:val="TableContents"/>
              <w:bidi w:val="0"/>
              <w:spacing w:before="0" w:after="283"/>
              <w:jc w:val="left"/>
              <w:rPr/>
            </w:pPr>
            <w:r>
              <w:rPr/>
              <w:t> </w:t>
            </w:r>
            <w:bookmarkStart w:id="816" w:name="xdx_409_eus-gaap--CommonStockCapitalShar"/>
            <w:bookmarkEnd w:id="816"/>
          </w:p>
        </w:tc>
      </w:tr>
      <w:tr>
        <w:trPr/>
        <w:tc>
          <w:tcPr>
            <w:tcW w:w="4955" w:type="dxa"/>
            <w:tcBorders/>
            <w:shd w:fill="FFFFFF" w:val="clear"/>
            <w:vAlign w:val="center"/>
          </w:tcPr>
          <w:p>
            <w:pPr>
              <w:pStyle w:val="TableContents"/>
              <w:bidi w:val="0"/>
              <w:spacing w:before="0" w:after="283"/>
              <w:jc w:val="left"/>
              <w:rPr/>
            </w:pPr>
            <w:r>
              <w:rPr/>
              <w:t>Conversion of convertible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58,771</w:t>
            </w:r>
          </w:p>
        </w:tc>
        <w:tc>
          <w:tcPr>
            <w:tcW w:w="75" w:type="dxa"/>
            <w:tcBorders/>
            <w:shd w:fill="FFFFFF" w:val="clear"/>
            <w:vAlign w:val="center"/>
          </w:tcPr>
          <w:p>
            <w:pPr>
              <w:pStyle w:val="TableContents"/>
              <w:bidi w:val="0"/>
              <w:spacing w:before="0" w:after="283"/>
              <w:jc w:val="left"/>
              <w:rPr/>
            </w:pPr>
            <w:r>
              <w:rPr/>
              <w:t> </w:t>
            </w:r>
            <w:bookmarkStart w:id="817" w:name="xdx_402_eus-gaap--CommonStockCapitalShar"/>
            <w:bookmarkEnd w:id="817"/>
          </w:p>
        </w:tc>
      </w:tr>
      <w:tr>
        <w:trPr/>
        <w:tc>
          <w:tcPr>
            <w:tcW w:w="4955" w:type="dxa"/>
            <w:tcBorders/>
            <w:shd w:fill="CCEEFF" w:val="clear"/>
            <w:vAlign w:val="center"/>
          </w:tcPr>
          <w:p>
            <w:pPr>
              <w:pStyle w:val="TableContents"/>
              <w:bidi w:val="0"/>
              <w:spacing w:before="0" w:after="283"/>
              <w:jc w:val="left"/>
              <w:rPr/>
            </w:pPr>
            <w:r>
              <w:rPr/>
              <w:t>Exercise of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1,226,648</w:t>
            </w:r>
          </w:p>
        </w:tc>
        <w:tc>
          <w:tcPr>
            <w:tcW w:w="75" w:type="dxa"/>
            <w:tcBorders/>
            <w:shd w:fill="CCEEFF" w:val="clear"/>
            <w:vAlign w:val="center"/>
          </w:tcPr>
          <w:p>
            <w:pPr>
              <w:pStyle w:val="TableContents"/>
              <w:bidi w:val="0"/>
              <w:spacing w:before="0" w:after="283"/>
              <w:jc w:val="left"/>
              <w:rPr/>
            </w:pPr>
            <w:r>
              <w:rPr/>
              <w:t> </w:t>
            </w:r>
            <w:bookmarkStart w:id="818" w:name="xdx_407_eus-gaap--CommonStockCapitalShar"/>
            <w:bookmarkEnd w:id="818"/>
          </w:p>
        </w:tc>
      </w:tr>
      <w:tr>
        <w:trPr/>
        <w:tc>
          <w:tcPr>
            <w:tcW w:w="49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19,350,388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9" w:name="xdx_8A9_ze8euJShZBi9"/>
      <w:bookmarkEnd w:id="81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Faraday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1 – Organization and Summary of Significant Accounting Policies and Estimates, on September 29, 2025, the Company consummated the Subscription Agreement with certain investors, including Faraday pursuant to which the Company issued and sold </w:t>
      </w:r>
      <w:bookmarkStart w:id="820" w:name="xdx_906_eus-gaap--SaleOfStockNumberOfSha"/>
      <w:bookmarkEnd w:id="820"/>
      <w:r>
        <w:rPr>
          <w:rFonts w:ascii="Times New Roman;Times;Serif" w:hAnsi="Times New Roman;Times;Serif"/>
          <w:b w:val="false"/>
          <w:i w:val="false"/>
          <w:caps w:val="false"/>
          <w:smallCaps w:val="false"/>
          <w:sz w:val="20"/>
        </w:rPr>
        <w:t xml:space="preserve">337,432 shares of the Company’s common stock and issued </w:t>
      </w:r>
      <w:bookmarkStart w:id="821" w:name="xdx_90D_eus-gaap--SaleOfStockNumberOfSha"/>
      <w:bookmarkEnd w:id="821"/>
      <w:r>
        <w:rPr>
          <w:rFonts w:ascii="Times New Roman;Times;Serif" w:hAnsi="Times New Roman;Times;Serif"/>
          <w:b w:val="false"/>
          <w:i w:val="false"/>
          <w:caps w:val="false"/>
          <w:smallCaps w:val="false"/>
          <w:sz w:val="20"/>
        </w:rPr>
        <w:t>100,000 to the Company’s legal firm . The purchase price of the common stock was $</w:t>
      </w:r>
      <w:bookmarkStart w:id="822" w:name="xdx_90D_eus-gaap--SaleOfStockPricePerSha"/>
      <w:bookmarkEnd w:id="822"/>
      <w:r>
        <w:rPr>
          <w:rFonts w:ascii="Times New Roman;Times;Serif" w:hAnsi="Times New Roman;Times;Serif"/>
          <w:b w:val="false"/>
          <w:i w:val="false"/>
          <w:caps w:val="false"/>
          <w:smallCaps w:val="false"/>
          <w:sz w:val="20"/>
        </w:rPr>
        <w:t>2.246 per share for an aggregate $</w:t>
      </w:r>
      <w:bookmarkStart w:id="823" w:name="xdx_90A_eus-gaap--SaleOfStockConsiderati"/>
      <w:bookmarkEnd w:id="823"/>
      <w:r>
        <w:rPr>
          <w:rFonts w:ascii="Times New Roman;Times;Serif" w:hAnsi="Times New Roman;Times;Serif"/>
          <w:b w:val="false"/>
          <w:i w:val="false"/>
          <w:caps w:val="false"/>
          <w:smallCaps w:val="false"/>
          <w:sz w:val="20"/>
        </w:rPr>
        <w:t>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in connection with the closing of the Subscription Agreement, the Company issued </w:t>
      </w:r>
      <w:bookmarkStart w:id="824" w:name="xdx_90E_eus-gaap--SaleOfStockNumberOfSha"/>
      <w:bookmarkEnd w:id="824"/>
      <w:r>
        <w:rPr>
          <w:rFonts w:ascii="Times New Roman;Times;Serif" w:hAnsi="Times New Roman;Times;Serif"/>
          <w:b w:val="false"/>
          <w:i w:val="false"/>
          <w:caps w:val="false"/>
          <w:smallCaps w:val="false"/>
          <w:sz w:val="20"/>
        </w:rPr>
        <w:t xml:space="preserve">60,257 shares of common stock as compensation to its advisor which has been accounted for under ASC 718 </w:t>
      </w:r>
      <w:r>
        <w:rPr>
          <w:rFonts w:ascii="Times New Roman;Times;Serif" w:hAnsi="Times New Roman;Times;Serif"/>
          <w:b w:val="false"/>
          <w:i/>
          <w:caps w:val="false"/>
          <w:smallCaps w:val="false"/>
          <w:sz w:val="20"/>
        </w:rPr>
        <w:t xml:space="preserve">Compensation—Stock Compensation </w:t>
      </w:r>
      <w:r>
        <w:rPr>
          <w:rFonts w:ascii="Times New Roman;Times;Serif" w:hAnsi="Times New Roman;Times;Serif"/>
          <w:b w:val="false"/>
          <w:i w:val="false"/>
          <w:caps w:val="false"/>
          <w:smallCaps w:val="false"/>
          <w:sz w:val="20"/>
        </w:rPr>
        <w:t>(See Note 1 – Organization and Summary of Significant Accounting Policies and Estimates).  The grant date fair value of these shares of $</w:t>
      </w:r>
      <w:bookmarkStart w:id="825" w:name="xdx_909_eus-gaap--StockIssuedDuringPerio"/>
      <w:bookmarkEnd w:id="825"/>
      <w:r>
        <w:rPr>
          <w:rFonts w:ascii="Times New Roman;Times;Serif" w:hAnsi="Times New Roman;Times;Serif"/>
          <w:b w:val="false"/>
          <w:i w:val="false"/>
          <w:caps w:val="false"/>
          <w:smallCaps w:val="false"/>
          <w:sz w:val="20"/>
        </w:rPr>
        <w:t>0.3 million, is included in General and Administrative Expenses on the Company’s Consolidated Statement of Operations and Comprehensive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in connection with the closing of the Subscription Agreement, </w:t>
      </w:r>
      <w:bookmarkStart w:id="826" w:name="xdx_90C_eus-gaap--ClassOfWarrantOrRightN"/>
      <w:bookmarkEnd w:id="826"/>
      <w:r>
        <w:rPr>
          <w:rFonts w:ascii="Times New Roman;Times;Serif" w:hAnsi="Times New Roman;Times;Serif"/>
          <w:b w:val="false"/>
          <w:i w:val="false"/>
          <w:caps w:val="false"/>
          <w:smallCaps w:val="false"/>
          <w:sz w:val="20"/>
        </w:rPr>
        <w:t>1,087,266 warrants were issued to the placement agent, (the “Placement Agent Warrants”). The Placement Agent Warrants were immediately exercisable and have an initial exercise price of $</w:t>
      </w:r>
      <w:bookmarkStart w:id="827" w:name="xdx_903_eus-gaap--ClassOfWarrantOrRightE"/>
      <w:bookmarkEnd w:id="827"/>
      <w:r>
        <w:rPr>
          <w:rFonts w:ascii="Times New Roman;Times;Serif" w:hAnsi="Times New Roman;Times;Serif"/>
          <w:b w:val="false"/>
          <w:i w:val="false"/>
          <w:caps w:val="false"/>
          <w:smallCaps w:val="false"/>
          <w:sz w:val="20"/>
        </w:rPr>
        <w:t xml:space="preserve">2.47 per share. At December 31, 2025, </w:t>
      </w:r>
      <w:bookmarkStart w:id="828" w:name="xdx_901_eus-gaap--ClassOfWarrantOrRightO"/>
      <w:bookmarkEnd w:id="828"/>
      <w:r>
        <w:rPr>
          <w:rFonts w:ascii="Times New Roman;Times;Serif" w:hAnsi="Times New Roman;Times;Serif"/>
          <w:b w:val="false"/>
          <w:i w:val="false"/>
          <w:caps w:val="false"/>
          <w:smallCaps w:val="false"/>
          <w:sz w:val="20"/>
        </w:rPr>
        <w:t>1,087,266 Placement Agent Warrants remain outstanding.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Common Stock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the Company entered into a Common Stock Purchase Agreement (the “Common Stock Purchase Agreement”) with Horberg Enterprises LP (the “Investor”), pursuant to which the Company in its sole discretion has the right, but not the obligation, to issue and sell to the Investor up to $</w:t>
      </w:r>
      <w:bookmarkStart w:id="829" w:name="xdx_905_eus-gaap--SaleOfStockConsiderati"/>
      <w:bookmarkEnd w:id="829"/>
      <w:r>
        <w:rPr>
          <w:rFonts w:ascii="Times New Roman;Times;Serif" w:hAnsi="Times New Roman;Times;Serif"/>
          <w:b w:val="false"/>
          <w:i w:val="false"/>
          <w:caps w:val="false"/>
          <w:smallCaps w:val="false"/>
          <w:sz w:val="20"/>
        </w:rPr>
        <w:t>10.0 million of the Company’s common stock, from time to time beginning on the Commencement Date, as discussed below, subject to certain limitations and conditions detailed in the Common Stock Purchase Agreement. The Company is not obligated to sell any shares to the Investor under the Common Stock Purchase Agreement; sales and timing of any sales of the Company’s common stock are solely at the Company’s election. In accordance with the terms of the Common Stock Purchase Agreement, the Commencement Date is subject to certain conditions, including the effectiveness of a registration statement on Form S-1 or a similar prospectus permitting the Investor to offer and resell the shares of common stock acquired under the Common Stock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upfront fees were paid to the Investor at the execution of the arrangement. As of December 31, 2025, no registration statement had been filed and thus the Commencement Date permitting the sale of shares under the Common Stock Purchase Agreement had not yet occurred.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Common Stock Purchase Agreement under ASC 815-40 </w:t>
      </w:r>
      <w:r>
        <w:rPr>
          <w:rFonts w:ascii="Times New Roman;Times;Serif" w:hAnsi="Times New Roman;Times;Serif"/>
          <w:b w:val="false"/>
          <w:i/>
          <w:caps w:val="false"/>
          <w:smallCaps w:val="false"/>
          <w:sz w:val="20"/>
        </w:rPr>
        <w:t>Derivatives and Hedging-Contracts on an Entity’s Own Equity</w:t>
      </w:r>
      <w:r>
        <w:rPr>
          <w:rFonts w:ascii="Times New Roman;Times;Serif" w:hAnsi="Times New Roman;Times;Serif"/>
          <w:b w:val="false"/>
          <w:i w:val="false"/>
          <w:caps w:val="false"/>
          <w:smallCaps w:val="false"/>
          <w:sz w:val="20"/>
        </w:rPr>
        <w:t xml:space="preserve"> as it represents the right to require the Investor to purchase shares of Common Stock in the future, similar to a put option. The Company concluded the Common Stock Purchase Agreement represents a freestanding derivative instrument that does not qualify for equity classification and therefore requires fair value accounting. The Company analyzed the terms of the contract and concluded the derivative instrument had no value at inception, as of December 31, 2025, or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a total of </w:t>
      </w:r>
      <w:bookmarkStart w:id="830" w:name="xdx_907_eus-gaap--PreferredStockSharesAu"/>
      <w:bookmarkEnd w:id="830"/>
      <w:r>
        <w:rPr>
          <w:rFonts w:ascii="Times New Roman;Times;Serif" w:hAnsi="Times New Roman;Times;Serif"/>
          <w:b w:val="false"/>
          <w:i w:val="false"/>
          <w:caps w:val="false"/>
          <w:smallCaps w:val="false"/>
          <w:sz w:val="20"/>
        </w:rPr>
        <w:t xml:space="preserve">15,000,000 shares of Preferred Stock authorized , of which </w:t>
      </w:r>
      <w:bookmarkStart w:id="831" w:name="xdx_90F_eus-gaap--PreferredStockSharesAu"/>
      <w:bookmarkEnd w:id="831"/>
      <w:r>
        <w:rPr>
          <w:rFonts w:ascii="Times New Roman;Times;Serif" w:hAnsi="Times New Roman;Times;Serif"/>
          <w:b w:val="false"/>
          <w:i w:val="false"/>
          <w:caps w:val="false"/>
          <w:smallCaps w:val="false"/>
          <w:sz w:val="20"/>
        </w:rPr>
        <w:t xml:space="preserve">10,000 shares are designated as Series A-2 Preferred Stock, </w:t>
      </w:r>
      <w:bookmarkStart w:id="832" w:name="xdx_90A_eus-gaap--PreferredStockSharesAu"/>
      <w:bookmarkEnd w:id="832"/>
      <w:r>
        <w:rPr>
          <w:rFonts w:ascii="Times New Roman;Times;Serif" w:hAnsi="Times New Roman;Times;Serif"/>
          <w:b w:val="false"/>
          <w:i w:val="false"/>
          <w:caps w:val="false"/>
          <w:smallCaps w:val="false"/>
          <w:sz w:val="20"/>
        </w:rPr>
        <w:t xml:space="preserve">10,000 shares are designed as Series A-3 Preferred Stock, and to </w:t>
      </w:r>
      <w:bookmarkStart w:id="833" w:name="xdx_904_eus-gaap--PreferredStockSharesAu"/>
      <w:bookmarkEnd w:id="833"/>
      <w:r>
        <w:rPr>
          <w:rFonts w:ascii="Times New Roman;Times;Serif" w:hAnsi="Times New Roman;Times;Serif"/>
          <w:b w:val="false"/>
          <w:i w:val="false"/>
          <w:caps w:val="false"/>
          <w:smallCaps w:val="false"/>
          <w:sz w:val="20"/>
        </w:rPr>
        <w:t>500,000 shares are designated as Series B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1 – Organization and Summary of Significant Accounting Policies and Estimates, on September 29, 2025, the Company consummated the Subscription Agreement pursuant to which the Company issued </w:t>
      </w:r>
      <w:bookmarkStart w:id="834" w:name="xdx_905_eus-gaap--SaleOfStockNumberOfSha"/>
      <w:bookmarkEnd w:id="834"/>
      <w:r>
        <w:rPr>
          <w:rFonts w:ascii="Times New Roman;Times;Serif" w:hAnsi="Times New Roman;Times;Serif"/>
          <w:b w:val="false"/>
          <w:i w:val="false"/>
          <w:caps w:val="false"/>
          <w:smallCaps w:val="false"/>
          <w:sz w:val="20"/>
        </w:rPr>
        <w:t>39,943 shares of the newly designated Series B Preferred Stock, for $</w:t>
      </w:r>
      <w:bookmarkStart w:id="835" w:name="xdx_90B_eus-gaap--SharesIssuedPricePerSh"/>
      <w:bookmarkEnd w:id="835"/>
      <w:r>
        <w:rPr>
          <w:rFonts w:ascii="Times New Roman;Times;Serif" w:hAnsi="Times New Roman;Times;Serif"/>
          <w:b w:val="false"/>
          <w:i w:val="false"/>
          <w:caps w:val="false"/>
          <w:smallCaps w:val="false"/>
          <w:sz w:val="20"/>
        </w:rPr>
        <w:t>1,000 per share, for aggregate gross proceeds of approximately $</w:t>
      </w:r>
      <w:bookmarkStart w:id="836" w:name="xdx_907_eus-gaap--ProceedsFromIssuanceOf"/>
      <w:bookmarkEnd w:id="836"/>
      <w:r>
        <w:rPr>
          <w:rFonts w:ascii="Times New Roman;Times;Serif" w:hAnsi="Times New Roman;Times;Serif"/>
          <w:b w:val="false"/>
          <w:i w:val="false"/>
          <w:caps w:val="false"/>
          <w:smallCaps w:val="false"/>
          <w:sz w:val="20"/>
        </w:rPr>
        <w:t>39.9 million, before deducting placement agent fees and other offering expenses. This offering triggered a down-round provision of the Series A-2 Convertible Preferred Stock and Series A-3 Convertible Preferred Stock, as described further below, which resulted in a lower conversion price. As a result, the Company recorded a $2.0 million deemed dividend in the amount equal to the change in fair value of the abovementioned series of convertible preferred stock before and after the anti-dilution adjustment.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28, 2025, in a private placement transaction, the Company sold and issued to certain institutional and accredited investors </w:t>
      </w:r>
      <w:bookmarkStart w:id="837" w:name="xdx_90D_eus-gaap--SaleOfStockNumberOfSha"/>
      <w:bookmarkEnd w:id="837"/>
      <w:r>
        <w:rPr>
          <w:rFonts w:ascii="Times New Roman;Times;Serif" w:hAnsi="Times New Roman;Times;Serif"/>
          <w:b w:val="false"/>
          <w:i w:val="false"/>
          <w:caps w:val="false"/>
          <w:smallCaps w:val="false"/>
          <w:sz w:val="20"/>
        </w:rPr>
        <w:t>4,500 shares of Series A-3 Convertible Preferred Stock, par value $</w:t>
      </w:r>
      <w:bookmarkStart w:id="838" w:name="xdx_90E_eus-gaap--PreferredStockParOrSta"/>
      <w:bookmarkEnd w:id="838"/>
      <w:r>
        <w:rPr>
          <w:rFonts w:ascii="Times New Roman;Times;Serif" w:hAnsi="Times New Roman;Times;Serif"/>
          <w:b w:val="false"/>
          <w:i w:val="false"/>
          <w:caps w:val="false"/>
          <w:smallCaps w:val="false"/>
          <w:sz w:val="20"/>
        </w:rPr>
        <w:t>0.001 per share, (the “Series A-3 Preferred Stock”), at a purchase price of $</w:t>
      </w:r>
      <w:bookmarkStart w:id="839" w:name="xdx_902_eus-gaap--SharesIssuedPricePerSh"/>
      <w:bookmarkEnd w:id="839"/>
      <w:r>
        <w:rPr>
          <w:rFonts w:ascii="Times New Roman;Times;Serif" w:hAnsi="Times New Roman;Times;Serif"/>
          <w:b w:val="false"/>
          <w:i w:val="false"/>
          <w:caps w:val="false"/>
          <w:smallCaps w:val="false"/>
          <w:sz w:val="20"/>
        </w:rPr>
        <w:t>1,000 per share, for aggregate gross proceeds of approximately $</w:t>
      </w:r>
      <w:bookmarkStart w:id="840" w:name="xdx_90A_eus-gaap--ProceedsFromIssuanceOf"/>
      <w:bookmarkEnd w:id="840"/>
      <w:r>
        <w:rPr>
          <w:rFonts w:ascii="Times New Roman;Times;Serif" w:hAnsi="Times New Roman;Times;Serif"/>
          <w:b w:val="false"/>
          <w:i w:val="false"/>
          <w:caps w:val="false"/>
          <w:smallCaps w:val="false"/>
          <w:sz w:val="20"/>
        </w:rPr>
        <w:t>4.5 million before deducting placement agent fees and offering expenses of $</w:t>
      </w:r>
      <w:bookmarkStart w:id="841" w:name="xdx_905_eus-gaap--NoninterestExpenseOffe"/>
      <w:bookmarkEnd w:id="841"/>
      <w:r>
        <w:rPr>
          <w:rFonts w:ascii="Times New Roman;Times;Serif" w:hAnsi="Times New Roman;Times;Serif"/>
          <w:b w:val="false"/>
          <w:i w:val="false"/>
          <w:caps w:val="false"/>
          <w:smallCaps w:val="false"/>
          <w:sz w:val="20"/>
        </w:rPr>
        <w:t>0.2 million, resulting in net proceeds of $</w:t>
      </w:r>
      <w:bookmarkStart w:id="842" w:name="xdx_901_eus-gaap--ProceedsFromIssuanceOr"/>
      <w:bookmarkEnd w:id="842"/>
      <w:r>
        <w:rPr>
          <w:rFonts w:ascii="Times New Roman;Times;Serif" w:hAnsi="Times New Roman;Times;Serif"/>
          <w:b w:val="false"/>
          <w:i w:val="false"/>
          <w:caps w:val="false"/>
          <w:smallCaps w:val="false"/>
          <w:sz w:val="20"/>
        </w:rPr>
        <w:t>4.3 million. This offering triggered a down-round provision of the Series A-2 Convertible Preferred stock, as described further below, which resulted in a lower conversion price. As a result, the Company recorded a $0.6 million deemed dividend in the amount equal to the change in fair value of the aforementioned series of convertible preferred stock before and after the anti-dilution adjustment.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2024 in a private placement transaction, the Company sold and issued to certain institutional and accredited investors </w:t>
      </w:r>
      <w:bookmarkStart w:id="843" w:name="xdx_903_eus-gaap--SaleOfStockNumberOfSha"/>
      <w:bookmarkEnd w:id="843"/>
      <w:r>
        <w:rPr>
          <w:rFonts w:ascii="Times New Roman;Times;Serif" w:hAnsi="Times New Roman;Times;Serif"/>
          <w:b w:val="false"/>
          <w:i w:val="false"/>
          <w:caps w:val="false"/>
          <w:smallCaps w:val="false"/>
          <w:sz w:val="20"/>
        </w:rPr>
        <w:t>5,102  shares of the newly designated Series A-2 Convertible Preferred Stock, par value $</w:t>
      </w:r>
      <w:bookmarkStart w:id="844" w:name="xdx_907_eus-gaap--PreferredStockParOrSta"/>
      <w:bookmarkEnd w:id="844"/>
      <w:r>
        <w:rPr>
          <w:rFonts w:ascii="Times New Roman;Times;Serif" w:hAnsi="Times New Roman;Times;Serif"/>
          <w:b w:val="false"/>
          <w:i w:val="false"/>
          <w:caps w:val="false"/>
          <w:smallCaps w:val="false"/>
          <w:sz w:val="20"/>
        </w:rPr>
        <w:t>0.001 per share (the “Series A-2 Preferred Stock” and together with the Series A-3 Preferred Stock, the “Series A Preferred Stock”), at a purchase price of $</w:t>
      </w:r>
      <w:bookmarkStart w:id="845" w:name="xdx_908_eus-gaap--SharesIssuedPricePerSh"/>
      <w:bookmarkEnd w:id="845"/>
      <w:r>
        <w:rPr>
          <w:rFonts w:ascii="Times New Roman;Times;Serif" w:hAnsi="Times New Roman;Times;Serif"/>
          <w:b w:val="false"/>
          <w:i w:val="false"/>
          <w:caps w:val="false"/>
          <w:smallCaps w:val="false"/>
          <w:sz w:val="20"/>
        </w:rPr>
        <w:t>1,000 per share, for an aggregate purchase price of $</w:t>
      </w:r>
      <w:bookmarkStart w:id="846" w:name="xdx_907_eus-gaap--ProceedsFromIssuanceOf"/>
      <w:bookmarkEnd w:id="846"/>
      <w:r>
        <w:rPr>
          <w:rFonts w:ascii="Times New Roman;Times;Serif" w:hAnsi="Times New Roman;Times;Serif"/>
          <w:b w:val="false"/>
          <w:i w:val="false"/>
          <w:caps w:val="false"/>
          <w:smallCaps w:val="false"/>
          <w:sz w:val="20"/>
        </w:rPr>
        <w:t xml:space="preserve">5.1 million. The Company also entered into an Exchange Agreement with Yi Hua Chen on November 18, 2024, pursuant to which it issued </w:t>
      </w:r>
      <w:bookmarkStart w:id="847" w:name="xdx_908_eus-gaap--DebtConversionConverte"/>
      <w:bookmarkEnd w:id="847"/>
      <w:r>
        <w:rPr>
          <w:rFonts w:ascii="Times New Roman;Times;Serif" w:hAnsi="Times New Roman;Times;Serif"/>
          <w:b w:val="false"/>
          <w:i w:val="false"/>
          <w:caps w:val="false"/>
          <w:smallCaps w:val="false"/>
          <w:sz w:val="20"/>
        </w:rPr>
        <w:t>1,154 shares of Series A-2 Preferred Stock in full settlement of the outstanding balance of the 2024 Chen Debenture of approximately $</w:t>
      </w:r>
      <w:bookmarkStart w:id="848" w:name="xdx_903_eus-gaap--DebtConversionOriginal"/>
      <w:bookmarkEnd w:id="848"/>
      <w:r>
        <w:rPr>
          <w:rFonts w:ascii="Times New Roman;Times;Serif" w:hAnsi="Times New Roman;Times;Serif"/>
          <w:b w:val="false"/>
          <w:i w:val="false"/>
          <w:caps w:val="false"/>
          <w:smallCaps w:val="false"/>
          <w:sz w:val="20"/>
        </w:rPr>
        <w:t xml:space="preserve">1.15 million. At December 31, 2024 the Company had </w:t>
      </w:r>
      <w:bookmarkStart w:id="849" w:name="xdx_903_eus-gaap--PreferredStockSharesOu"/>
      <w:bookmarkEnd w:id="849"/>
      <w:r>
        <w:rPr>
          <w:rFonts w:ascii="Times New Roman;Times;Serif" w:hAnsi="Times New Roman;Times;Serif"/>
          <w:b w:val="false"/>
          <w:i w:val="false"/>
          <w:caps w:val="false"/>
          <w:smallCaps w:val="false"/>
          <w:sz w:val="20"/>
        </w:rPr>
        <w:t xml:space="preserve">6,256 shares of Series A-2 preferred stock outstanding, which were convertible into </w:t>
      </w:r>
      <w:bookmarkStart w:id="850" w:name="xdx_90E_eus-gaap--PreferredStockConverti"/>
      <w:bookmarkEnd w:id="850"/>
      <w:r>
        <w:rPr>
          <w:rFonts w:ascii="Times New Roman;Times;Serif" w:hAnsi="Times New Roman;Times;Serif"/>
          <w:b w:val="false"/>
          <w:i w:val="false"/>
          <w:caps w:val="false"/>
          <w:smallCaps w:val="false"/>
          <w:sz w:val="20"/>
        </w:rPr>
        <w:t>1,718,681 shares of common stock at a Conversion Price of $</w:t>
      </w:r>
      <w:bookmarkStart w:id="851" w:name="xdx_90E_eus-gaap--DebtInstrumentConverti"/>
      <w:bookmarkEnd w:id="851"/>
      <w:r>
        <w:rPr>
          <w:rFonts w:ascii="Times New Roman;Times;Serif" w:hAnsi="Times New Roman;Times;Serif"/>
          <w:b w:val="false"/>
          <w:i w:val="false"/>
          <w:caps w:val="false"/>
          <w:smallCaps w:val="false"/>
          <w:sz w:val="20"/>
        </w:rPr>
        <w:t xml:space="preserve">3.64. During the year ended December 31, 2025, </w:t>
      </w:r>
      <w:bookmarkStart w:id="852" w:name="xdx_907_eus-gaap--ConversionOfStockShare"/>
      <w:bookmarkEnd w:id="852"/>
      <w:r>
        <w:rPr>
          <w:rFonts w:ascii="Times New Roman;Times;Serif" w:hAnsi="Times New Roman;Times;Serif"/>
          <w:b w:val="false"/>
          <w:i w:val="false"/>
          <w:caps w:val="false"/>
          <w:smallCaps w:val="false"/>
          <w:sz w:val="20"/>
        </w:rPr>
        <w:t xml:space="preserve">5,656 shares of Series A-2 Convertible Preferred stock and </w:t>
      </w:r>
      <w:bookmarkStart w:id="853" w:name="xdx_901_eus-gaap--ConversionOfStockShare"/>
      <w:bookmarkEnd w:id="853"/>
      <w:r>
        <w:rPr>
          <w:rFonts w:ascii="Times New Roman;Times;Serif" w:hAnsi="Times New Roman;Times;Serif"/>
          <w:b w:val="false"/>
          <w:i w:val="false"/>
          <w:caps w:val="false"/>
          <w:smallCaps w:val="false"/>
          <w:sz w:val="20"/>
        </w:rPr>
        <w:t xml:space="preserve">4,500 shares of Series A-3 Convertible Preferred Stock were converted into </w:t>
      </w:r>
      <w:bookmarkStart w:id="854" w:name="xdx_901_eus-gaap--ConversionOfStockShare"/>
      <w:bookmarkEnd w:id="854"/>
      <w:r>
        <w:rPr>
          <w:rFonts w:ascii="Times New Roman;Times;Serif" w:hAnsi="Times New Roman;Times;Serif"/>
          <w:b w:val="false"/>
          <w:i w:val="false"/>
          <w:caps w:val="false"/>
          <w:smallCaps w:val="false"/>
          <w:sz w:val="20"/>
        </w:rPr>
        <w:t>3,926,263  shares of common stock at a Conversion Price ranging from $</w:t>
      </w:r>
      <w:bookmarkStart w:id="855" w:name="xdx_903_eus-gaap--DebtInstrumentConverti"/>
      <w:bookmarkEnd w:id="855"/>
      <w:r>
        <w:rPr>
          <w:rFonts w:ascii="Times New Roman;Times;Serif" w:hAnsi="Times New Roman;Times;Serif"/>
          <w:b w:val="false"/>
          <w:i w:val="false"/>
          <w:caps w:val="false"/>
          <w:smallCaps w:val="false"/>
          <w:sz w:val="20"/>
        </w:rPr>
        <w:t>3.64 to $</w:t>
      </w:r>
      <w:bookmarkStart w:id="856" w:name="xdx_90E_eus-gaap--DebtInstrumentConverti"/>
      <w:bookmarkEnd w:id="856"/>
      <w:r>
        <w:rPr>
          <w:rFonts w:ascii="Times New Roman;Times;Serif" w:hAnsi="Times New Roman;Times;Serif"/>
          <w:b w:val="false"/>
          <w:i w:val="false"/>
          <w:caps w:val="false"/>
          <w:smallCaps w:val="false"/>
          <w:sz w:val="20"/>
        </w:rPr>
        <w:t>2.246. At December 31, 2025, the Company’s outstanding preferred stock consists of the following:</w:t>
      </w:r>
    </w:p>
    <w:p>
      <w:pPr>
        <w:pStyle w:val="TextBody"/>
        <w:bidi w:val="0"/>
        <w:spacing w:before="0" w:after="0"/>
        <w:ind w:left="0" w:right="0" w:hanging="0"/>
        <w:jc w:val="both"/>
        <w:rPr>
          <w:caps w:val="false"/>
          <w:smallCaps w:val="false"/>
        </w:rPr>
      </w:pPr>
      <w:bookmarkStart w:id="857" w:name="xdx_895_eus-gaap--ScheduleOfStockByClass"/>
      <w:bookmarkEnd w:id="857"/>
      <w:r>
        <w:rPr>
          <w:caps w:val="false"/>
          <w:smallCaps w:val="false"/>
        </w:rPr>
        <w:t> </w:t>
      </w:r>
      <w:bookmarkStart w:id="858" w:name="xdx_8BA_zJAeu8vbDY5d"/>
      <w:bookmarkEnd w:id="858"/>
      <w:r>
        <w:rPr>
          <w:rFonts w:ascii="Times New Roman;Times;Serif" w:hAnsi="Times New Roman;Times;Serif"/>
          <w:b w:val="false"/>
          <w:i w:val="false"/>
          <w:caps w:val="false"/>
          <w:smallCaps w:val="false"/>
          <w:sz w:val="20"/>
        </w:rPr>
        <w:t>SCHEDULE OF OUTSTANDING PREFERRED STOCK</w:t>
      </w:r>
    </w:p>
    <w:tbl>
      <w:tblPr>
        <w:tblW w:w="10027" w:type="dxa"/>
        <w:jc w:val="left"/>
        <w:tblInd w:w="0" w:type="dxa"/>
        <w:tblLayout w:type="fixed"/>
        <w:tblCellMar>
          <w:top w:w="0" w:type="dxa"/>
          <w:left w:w="0" w:type="dxa"/>
          <w:bottom w:w="0" w:type="dxa"/>
          <w:right w:w="0" w:type="dxa"/>
        </w:tblCellMar>
      </w:tblPr>
      <w:tblGrid>
        <w:gridCol w:w="1040"/>
        <w:gridCol w:w="60"/>
        <w:gridCol w:w="132"/>
        <w:gridCol w:w="1792"/>
        <w:gridCol w:w="60"/>
        <w:gridCol w:w="60"/>
        <w:gridCol w:w="163"/>
        <w:gridCol w:w="1866"/>
        <w:gridCol w:w="60"/>
        <w:gridCol w:w="60"/>
        <w:gridCol w:w="355"/>
        <w:gridCol w:w="1420"/>
        <w:gridCol w:w="60"/>
        <w:gridCol w:w="60"/>
        <w:gridCol w:w="143"/>
        <w:gridCol w:w="2621"/>
        <w:gridCol w:w="75"/>
      </w:tblGrid>
      <w:tr>
        <w:trPr/>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Conversion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 Equivalent</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Series A-2</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bookmarkStart w:id="859" w:name="xdx_983_eus-gaap--PreferredStockSharesAu"/>
            <w:bookmarkEnd w:id="859"/>
          </w:p>
        </w:tc>
        <w:tc>
          <w:tcPr>
            <w:tcW w:w="179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bookmarkStart w:id="860" w:name="xdx_98E_eus-gaap--PreferredStockSharesOu"/>
            <w:bookmarkEnd w:id="860"/>
          </w:p>
        </w:tc>
        <w:tc>
          <w:tcPr>
            <w:tcW w:w="1866" w:type="dxa"/>
            <w:tcBorders/>
            <w:shd w:fill="CCEEFF" w:val="clear"/>
            <w:vAlign w:val="center"/>
          </w:tcPr>
          <w:p>
            <w:pPr>
              <w:pStyle w:val="TableContents"/>
              <w:bidi w:val="0"/>
              <w:spacing w:before="0" w:after="283"/>
              <w:jc w:val="right"/>
              <w:rPr/>
            </w:pPr>
            <w:r>
              <w:rPr/>
              <w:t>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bookmarkStart w:id="861" w:name="xdx_989_eus-gaap--PreferredStockConverti"/>
            <w:bookmarkEnd w:id="861"/>
          </w:p>
        </w:tc>
        <w:tc>
          <w:tcPr>
            <w:tcW w:w="1420" w:type="dxa"/>
            <w:tcBorders/>
            <w:shd w:fill="CCEEFF" w:val="clear"/>
            <w:vAlign w:val="center"/>
          </w:tcPr>
          <w:p>
            <w:pPr>
              <w:pStyle w:val="TableContents"/>
              <w:bidi w:val="0"/>
              <w:spacing w:before="0" w:after="283"/>
              <w:jc w:val="right"/>
              <w:rPr/>
            </w:pPr>
            <w:r>
              <w:rPr/>
              <w:t>2.246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862" w:name="xdx_983_eus-gaap--PreferredStockConverti"/>
            <w:bookmarkEnd w:id="862"/>
          </w:p>
        </w:tc>
        <w:tc>
          <w:tcPr>
            <w:tcW w:w="2621" w:type="dxa"/>
            <w:tcBorders/>
            <w:shd w:fill="CCEEFF" w:val="clear"/>
            <w:vAlign w:val="center"/>
          </w:tcPr>
          <w:p>
            <w:pPr>
              <w:pStyle w:val="TableContents"/>
              <w:bidi w:val="0"/>
              <w:spacing w:before="0" w:after="283"/>
              <w:jc w:val="right"/>
              <w:rPr/>
            </w:pPr>
            <w:r>
              <w:rPr/>
              <w:t>267,364</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Series B</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bookmarkStart w:id="863" w:name="xdx_989_eus-gaap--PreferredStockSharesAu"/>
            <w:bookmarkEnd w:id="863"/>
          </w:p>
        </w:tc>
        <w:tc>
          <w:tcPr>
            <w:tcW w:w="1792"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864" w:name="xdx_983_eus-gaap--PreferredStockSharesOu"/>
            <w:bookmarkEnd w:id="864"/>
          </w:p>
        </w:tc>
        <w:tc>
          <w:tcPr>
            <w:tcW w:w="1866" w:type="dxa"/>
            <w:tcBorders/>
            <w:shd w:fill="FFFFFF" w:val="clear"/>
            <w:vAlign w:val="center"/>
          </w:tcPr>
          <w:p>
            <w:pPr>
              <w:pStyle w:val="TableContents"/>
              <w:bidi w:val="0"/>
              <w:spacing w:before="0" w:after="283"/>
              <w:jc w:val="right"/>
              <w:rPr/>
            </w:pPr>
            <w:r>
              <w:rPr/>
              <w:t>39,943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w:t>
            </w:r>
            <w:bookmarkStart w:id="865" w:name="xdx_980_eus-gaap--PreferredStockConverti"/>
            <w:bookmarkEnd w:id="865"/>
          </w:p>
        </w:tc>
        <w:tc>
          <w:tcPr>
            <w:tcW w:w="1420" w:type="dxa"/>
            <w:tcBorders/>
            <w:shd w:fill="FFFFFF" w:val="clear"/>
            <w:vAlign w:val="center"/>
          </w:tcPr>
          <w:p>
            <w:pPr>
              <w:pStyle w:val="TableContents"/>
              <w:bidi w:val="0"/>
              <w:spacing w:before="0" w:after="283"/>
              <w:jc w:val="right"/>
              <w:rPr/>
            </w:pPr>
            <w:r>
              <w:rPr/>
              <w:t>2.246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866" w:name="xdx_98E_eus-gaap--PreferredStockConverti"/>
            <w:bookmarkEnd w:id="866"/>
          </w:p>
        </w:tc>
        <w:tc>
          <w:tcPr>
            <w:tcW w:w="2621" w:type="dxa"/>
            <w:tcBorders/>
            <w:shd w:fill="FFFFFF" w:val="clear"/>
            <w:vAlign w:val="center"/>
          </w:tcPr>
          <w:p>
            <w:pPr>
              <w:pStyle w:val="TableContents"/>
              <w:bidi w:val="0"/>
              <w:spacing w:before="0" w:after="283"/>
              <w:jc w:val="right"/>
              <w:rPr/>
            </w:pPr>
            <w:r>
              <w:rPr/>
              <w:t>17,784,061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67" w:name="xdx_8AD_zDmoXCCCWzva"/>
      <w:bookmarkEnd w:id="86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A-2 Preferred Stock, Series A-3 Preferred Stock, and Series B Preferred Stock have the rights, preferences, powers, restrictions and limitations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 – Each share of Preferred Stock is convertible at any time, at the option of the holder, into a number of shares of common stock equal to $</w:t>
      </w:r>
      <w:bookmarkStart w:id="868" w:name="xdx_908_eus-gaap--SharesIssuedPricePerSh"/>
      <w:bookmarkEnd w:id="868"/>
      <w:r>
        <w:rPr>
          <w:rFonts w:ascii="Times New Roman;Times;Serif" w:hAnsi="Times New Roman;Times;Serif"/>
          <w:b w:val="false"/>
          <w:i w:val="false"/>
          <w:caps w:val="false"/>
          <w:smallCaps w:val="false"/>
          <w:sz w:val="20"/>
        </w:rPr>
        <w:t>1,000 (the “Stated Value”), divided by a conversion price initially equal to $</w:t>
      </w:r>
      <w:bookmarkStart w:id="869" w:name="xdx_903_eus-gaap--DebtInstrumentConverti"/>
      <w:bookmarkEnd w:id="869"/>
      <w:r>
        <w:rPr>
          <w:rFonts w:ascii="Times New Roman;Times;Serif" w:hAnsi="Times New Roman;Times;Serif"/>
          <w:b w:val="false"/>
          <w:i w:val="false"/>
          <w:caps w:val="false"/>
          <w:smallCaps w:val="false"/>
          <w:sz w:val="20"/>
        </w:rPr>
        <w:t>3.64 for each share of Series A-2 Preferred Stock, $</w:t>
      </w:r>
      <w:bookmarkStart w:id="870" w:name="xdx_900_eus-gaap--DebtInstrumentConverti"/>
      <w:bookmarkEnd w:id="870"/>
      <w:r>
        <w:rPr>
          <w:rFonts w:ascii="Times New Roman;Times;Serif" w:hAnsi="Times New Roman;Times;Serif"/>
          <w:b w:val="false"/>
          <w:i w:val="false"/>
          <w:caps w:val="false"/>
          <w:smallCaps w:val="false"/>
          <w:sz w:val="20"/>
        </w:rPr>
        <w:t>2.80 for each share of Series A-3 Preferred stock and $</w:t>
      </w:r>
      <w:bookmarkStart w:id="871" w:name="xdx_902_eus-gaap--DebtInstrumentConverti"/>
      <w:bookmarkEnd w:id="871"/>
      <w:r>
        <w:rPr>
          <w:rFonts w:ascii="Times New Roman;Times;Serif" w:hAnsi="Times New Roman;Times;Serif"/>
          <w:b w:val="false"/>
          <w:i w:val="false"/>
          <w:caps w:val="false"/>
          <w:smallCaps w:val="false"/>
          <w:sz w:val="20"/>
        </w:rPr>
        <w:t>2.246 for each share of Series B Preferred Stock (the “Conversion Shares”), subject to adjustment for any stock splits, stock dividends and similar events (the “Conversion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Prices of the Series A Preferred Stock are also subject to down-round adjustments if the Company at any time while the Series A Preferred Stock is outstanding issues common stock or common stock equivalents at a lower effective price per share than the then-effective Conversion Price, in all cases subject to a floor price of $</w:t>
      </w:r>
      <w:bookmarkStart w:id="872" w:name="xdx_90A_ecustom--DebtInstrumentFloorPric"/>
      <w:bookmarkEnd w:id="872"/>
      <w:r>
        <w:rPr>
          <w:rFonts w:ascii="Times New Roman;Times;Serif" w:hAnsi="Times New Roman;Times;Serif"/>
          <w:b w:val="false"/>
          <w:i w:val="false"/>
          <w:caps w:val="false"/>
          <w:smallCaps w:val="false"/>
          <w:sz w:val="20"/>
        </w:rPr>
        <w:t>1.82 and $</w:t>
      </w:r>
      <w:bookmarkStart w:id="873" w:name="xdx_904_ecustom--DebtInstrumentFloorPric"/>
      <w:bookmarkEnd w:id="873"/>
      <w:r>
        <w:rPr>
          <w:rFonts w:ascii="Times New Roman;Times;Serif" w:hAnsi="Times New Roman;Times;Serif"/>
          <w:b w:val="false"/>
          <w:i w:val="false"/>
          <w:caps w:val="false"/>
          <w:smallCaps w:val="false"/>
          <w:sz w:val="20"/>
        </w:rPr>
        <w:t>1.40 for the Series A-2 Preferred Stocka and the Series A-3 Preferred Stock, respectively. Conversion of the Series A Preferred Stock will be prohibited if, as a result of such conversion, the holder, together with its affiliates, would beneficially own more than 4.99% (or 9.99% at the option of the holder) of the total number of shares of the Company’s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Preference – Upon any voluntary or involuntary liquidation, dissolution or winding-up of the Corporation, the holders of Series A Preferred Stock shall be entitled to an amount equal to the Stated Value for each share of Series A-2 Preferred Stock before any distribution or payment shall be made to the holders of common stock. Upon any voluntary or involuntary liquidation, dissolution or winding-up of the Corporation, the holders of Series B Preferred Stock shall be entitled to an amount equal to the Stated Value, plus any accrued and unpaid dividends thereon before any distribution or payment shall be made to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 The holders of Series A Preferred Stock are entitled to vote, together as a single class with the common stock, on all matters presented to the common stockholders for a vote. Each share of Preferred Stock is entitled to a number of votes equal to the number of shares into which such share of Preferred Stock would be convertible, as of the record date for determination of stockholders entitled to vote as to such matter, if the conversion price was equal to the “Minimum Price” (as defined in Nasdaq Listing Rule 5635(d)) as of the original issue date of the Series A Preferred Stock, taking into account for such purposes the beneficial ownership limitation as then in effect. The holders of Series B Preferred stock will vote together with common stock on an as-converted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 The holders of Series A Preferred Stock and Series B Preferred Stock are entitled to receive dividends, if and when such dividends are paid to holders of common stock, in the same form and at the same time on an as-converted to common stock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Protective Provisions – At all times while the Series A Preferred Stock and Series B Preferred Stock are outstanding, without the consent of the holders of at least 67% of the Stated Value of each series of the then-outstanding Series A Preferred Stock and holders of at least 75% of the Stated Value of the then-outstanding Series B Preferred Stock, (the “Required Consent”), the Company is prohibited from amending its charter documents in any manner that adversely affects the rights of the Series A Preferred Stock and Series B Preferred Stock, repurchase junior securities of the Company, pay cash dividends or distributions on junior securities of the Company, or enter into a material transactions with an affiliate of the Company (unless it is at arm’s length and expressly approved by a majority of the disinterested directors). Without the Required Consent of the Series B Preferred Stock, the Company is prohibited from entering into, creating, assuming or guaranteeing any new indebtedness or liens of any kind.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long as any shares of Series B Preferred Stock are outstanding, the Company shall not, without the affirmative vote of the holders of a majority of the then outstanding shares of the Series B Preferred Stock directly and/or indirectly (a) alter or change adversely the powers, preferences or rights given to the Series B Preferred Stock or alter or amend this Certificate of Designation, (b) authorize or create any class of stock ranking as to redemption or distribution of assets upon a Liquidation (as defined in Section 5) senior to, or otherwise pari passu with, the Series B Preferred Stock or, authorize or create any class of stock ranking as to dividends senior to, or otherwise pari passu with, the Series B Preferred Stock, (c) amend its Articles of Incorporation or other charter documents in any manner that adversely affects any rights of the holders of the Series B Preferred Stock, (d) increase the number of authorized shares of Series B Preferred Stock, or (e) enter into any agreement with respect to any of the foregoing.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subsequent issuance by the Company or any of its subsidiaries of common stock or common stock equivalents for cash consideration, indebtedness or a combination of units thereof (a “Subsequent Financing”), holders of Series B Preferred Stock may elect, in its sole discretion, to exchange (in lieu of conversion), if applicable, all or some of the shares of Series B Preferred Stock then held for any securities or units issued in a Subsequent Financing on a $</w:t>
      </w:r>
      <w:bookmarkStart w:id="874" w:name="xdx_90D_eus-gaap--SharePrice_iI_c2025123"/>
      <w:bookmarkEnd w:id="874"/>
      <w:r>
        <w:rPr>
          <w:rFonts w:ascii="Times New Roman;Times;Serif" w:hAnsi="Times New Roman;Times;Serif"/>
          <w:b w:val="false"/>
          <w:i w:val="false"/>
          <w:caps w:val="false"/>
          <w:smallCaps w:val="false"/>
          <w:sz w:val="20"/>
        </w:rPr>
        <w:t>1.00 for $</w:t>
      </w:r>
      <w:bookmarkStart w:id="875" w:name="xdx_90E_eus-gaap--SharePrice_iI_c2025123"/>
      <w:bookmarkEnd w:id="875"/>
      <w:r>
        <w:rPr>
          <w:rFonts w:ascii="Times New Roman;Times;Serif" w:hAnsi="Times New Roman;Times;Serif"/>
          <w:b w:val="false"/>
          <w:i w:val="false"/>
          <w:caps w:val="false"/>
          <w:smallCaps w:val="false"/>
          <w:sz w:val="20"/>
        </w:rPr>
        <w:t>1.00 basis. Additionally, if in such Subsequent Financing there are any contractual provisions or side letters that provide terms more favorable to the investors than the terms previously provided to holders of the Series B Preferred Stock, holders of the Series B Preferred Stock shall become a part of the transaction documents, at their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all compensatory share-based payments as compensation expense over the service period, which is generally the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2020, the Company adopted the 2020 Stock Incentive Plan (the “2020 Plan”), which provides for the granting of incentive or non-statutory common stock options and other types of awards to qualified employees, officers, directors, consultants and other service providers. At December 31, 2025 and 2024, there were </w:t>
      </w:r>
      <w:bookmarkStart w:id="876" w:name="xdx_907_eus-gaap--ShareBasedCompensation"/>
      <w:bookmarkEnd w:id="876"/>
      <w:r>
        <w:rPr>
          <w:rFonts w:ascii="Times New Roman;Times;Serif" w:hAnsi="Times New Roman;Times;Serif"/>
          <w:b w:val="false"/>
          <w:i w:val="false"/>
          <w:caps w:val="false"/>
          <w:smallCaps w:val="false"/>
          <w:sz w:val="20"/>
        </w:rPr>
        <w:t xml:space="preserve">1,570 and </w:t>
      </w:r>
      <w:bookmarkStart w:id="877" w:name="xdx_904_eus-gaap--ShareBasedCompensation"/>
      <w:bookmarkEnd w:id="877"/>
      <w:r>
        <w:rPr>
          <w:rFonts w:ascii="Times New Roman;Times;Serif" w:hAnsi="Times New Roman;Times;Serif"/>
          <w:b w:val="false"/>
          <w:i w:val="false"/>
          <w:caps w:val="false"/>
          <w:smallCaps w:val="false"/>
          <w:sz w:val="20"/>
        </w:rPr>
        <w:t xml:space="preserve">1,870 outstanding stock options, respectively, under the 2020 Plan and on such dates there were </w:t>
      </w:r>
      <w:bookmarkStart w:id="878" w:name="xdx_90E_eus-gaap--CommonStockCapitalShar"/>
      <w:bookmarkEnd w:id="878"/>
      <w:r>
        <w:rPr>
          <w:rFonts w:ascii="Times New Roman;Times;Serif" w:hAnsi="Times New Roman;Times;Serif"/>
          <w:b w:val="false"/>
          <w:i w:val="false"/>
          <w:caps w:val="false"/>
          <w:smallCaps w:val="false"/>
          <w:sz w:val="20"/>
        </w:rPr>
        <w:t xml:space="preserve">13,544  and </w:t>
      </w:r>
      <w:bookmarkStart w:id="879" w:name="xdx_905_eus-gaap--CommonStockCapitalShar"/>
      <w:bookmarkEnd w:id="879"/>
      <w:r>
        <w:rPr>
          <w:rFonts w:ascii="Times New Roman;Times;Serif" w:hAnsi="Times New Roman;Times;Serif"/>
          <w:b w:val="false"/>
          <w:i w:val="false"/>
          <w:caps w:val="false"/>
          <w:smallCaps w:val="false"/>
          <w:sz w:val="20"/>
        </w:rPr>
        <w:t>13,244 shares reserved under the 2020 Plan, respectively, for future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0" w:name="xdx_89E_eus-gaap--ScheduleOfShareBasedCo"/>
      <w:bookmarkEnd w:id="880"/>
      <w:r>
        <w:rPr>
          <w:rFonts w:ascii="Times New Roman;Times;Serif" w:hAnsi="Times New Roman;Times;Serif"/>
          <w:b w:val="false"/>
          <w:i w:val="false"/>
          <w:caps w:val="false"/>
          <w:smallCaps w:val="false"/>
          <w:sz w:val="20"/>
        </w:rPr>
        <w:t>The following represents a summary of the options granted to employees and non-employee service providers that were outstanding at December 31, 2025, and changes during the twelve-months then ended:</w:t>
      </w:r>
    </w:p>
    <w:p>
      <w:pPr>
        <w:pStyle w:val="TextBody"/>
        <w:bidi w:val="0"/>
        <w:spacing w:before="0" w:after="0"/>
        <w:ind w:left="0" w:right="0" w:hanging="0"/>
        <w:jc w:val="both"/>
        <w:rPr>
          <w:caps w:val="false"/>
          <w:smallCaps w:val="false"/>
        </w:rPr>
      </w:pPr>
      <w:r>
        <w:rPr>
          <w:caps w:val="false"/>
          <w:smallCaps w:val="false"/>
        </w:rPr>
        <w:t> </w:t>
      </w:r>
      <w:bookmarkStart w:id="881" w:name="xdx_8B5_zpmsU02Dwcx6"/>
      <w:bookmarkEnd w:id="881"/>
      <w:r>
        <w:rPr>
          <w:rFonts w:ascii="Times New Roman;Times;Serif" w:hAnsi="Times New Roman;Times;Serif"/>
          <w:b w:val="false"/>
          <w:i w:val="false"/>
          <w:caps w:val="false"/>
          <w:smallCaps w:val="false"/>
          <w:sz w:val="20"/>
        </w:rPr>
        <w:t>SCHEDULE OF STOCK OPTION ACTIVITY</w:t>
      </w:r>
    </w:p>
    <w:tbl>
      <w:tblPr>
        <w:tblW w:w="9289" w:type="dxa"/>
        <w:jc w:val="left"/>
        <w:tblInd w:w="0" w:type="dxa"/>
        <w:tblLayout w:type="fixed"/>
        <w:tblCellMar>
          <w:top w:w="0" w:type="dxa"/>
          <w:left w:w="0" w:type="dxa"/>
          <w:bottom w:w="0" w:type="dxa"/>
          <w:right w:w="0" w:type="dxa"/>
        </w:tblCellMar>
      </w:tblPr>
      <w:tblGrid>
        <w:gridCol w:w="3860"/>
        <w:gridCol w:w="60"/>
        <w:gridCol w:w="68"/>
        <w:gridCol w:w="642"/>
        <w:gridCol w:w="95"/>
        <w:gridCol w:w="60"/>
        <w:gridCol w:w="156"/>
        <w:gridCol w:w="959"/>
        <w:gridCol w:w="60"/>
        <w:gridCol w:w="60"/>
        <w:gridCol w:w="140"/>
        <w:gridCol w:w="1700"/>
        <w:gridCol w:w="60"/>
        <w:gridCol w:w="60"/>
        <w:gridCol w:w="147"/>
        <w:gridCol w:w="1087"/>
        <w:gridCol w:w="75"/>
      </w:tblGrid>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Total outstanding – December 31, 2024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882" w:name="xdx_982_eus-gaap--ShareBasedCompensation"/>
            <w:bookmarkEnd w:id="882"/>
          </w:p>
        </w:tc>
        <w:tc>
          <w:tcPr>
            <w:tcW w:w="642" w:type="dxa"/>
            <w:tcBorders/>
            <w:shd w:fill="CCEEFF" w:val="clear"/>
            <w:vAlign w:val="center"/>
          </w:tcPr>
          <w:p>
            <w:pPr>
              <w:pStyle w:val="TableContents"/>
              <w:bidi w:val="0"/>
              <w:spacing w:before="0" w:after="283"/>
              <w:jc w:val="right"/>
              <w:rPr/>
            </w:pPr>
            <w:r>
              <w:rPr/>
              <w:t>1,870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bookmarkStart w:id="883" w:name="xdx_987_eus-gaap--ShareBasedCompensation"/>
            <w:bookmarkEnd w:id="883"/>
          </w:p>
        </w:tc>
        <w:tc>
          <w:tcPr>
            <w:tcW w:w="959" w:type="dxa"/>
            <w:tcBorders/>
            <w:shd w:fill="CCEEFF" w:val="clear"/>
            <w:vAlign w:val="center"/>
          </w:tcPr>
          <w:p>
            <w:pPr>
              <w:pStyle w:val="TableContents"/>
              <w:bidi w:val="0"/>
              <w:spacing w:before="0" w:after="283"/>
              <w:jc w:val="right"/>
              <w:rPr/>
            </w:pPr>
            <w:r>
              <w:rPr/>
              <w:t>1,948.41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00" w:type="dxa"/>
            <w:tcBorders/>
            <w:shd w:fill="CCEEFF" w:val="clear"/>
            <w:vAlign w:val="center"/>
          </w:tcPr>
          <w:p>
            <w:pPr>
              <w:pStyle w:val="TableContents"/>
              <w:bidi w:val="0"/>
              <w:spacing w:before="0" w:after="283"/>
              <w:jc w:val="right"/>
              <w:rPr>
                <w:rFonts w:ascii="Times New Roman;Times;Serif" w:hAnsi="Times New Roman;Times;Serif"/>
                <w:sz w:val="20"/>
              </w:rPr>
            </w:pPr>
            <w:bookmarkStart w:id="884" w:name="xdx_902_eus-gaap--SharebasedCompensation"/>
            <w:bookmarkEnd w:id="884"/>
            <w:r>
              <w:rPr>
                <w:rFonts w:ascii="Times New Roman;Times;Serif" w:hAnsi="Times New Roman;Times;Serif"/>
                <w:sz w:val="20"/>
              </w:rPr>
              <w:t>256.80 — $</w:t>
            </w:r>
            <w:bookmarkStart w:id="885" w:name="xdx_903_eus-gaap--SharebasedCompensation"/>
            <w:bookmarkEnd w:id="885"/>
            <w:r>
              <w:rPr>
                <w:rFonts w:ascii="Times New Roman;Times;Serif" w:hAnsi="Times New Roman;Times;Serif"/>
                <w:sz w:val="20"/>
              </w:rPr>
              <w:t>2,565.00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886" w:name="xdx_90B_eus-gaap--SharebasedCompensation"/>
            <w:bookmarkEnd w:id="886"/>
            <w:r>
              <w:rPr/>
              <w:t>5.93</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887" w:name="xdx_98D_eus-gaap--ShareBasedCompensation"/>
            <w:bookmarkEnd w:id="887"/>
          </w:p>
        </w:tc>
        <w:tc>
          <w:tcPr>
            <w:tcW w:w="6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888" w:name="xdx_98E_eus-gaap--ShareBasedCompensation"/>
            <w:bookmarkEnd w:id="888"/>
          </w:p>
        </w:tc>
        <w:tc>
          <w:tcPr>
            <w:tcW w:w="9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889" w:name="xdx_98C_eus-gaap--ShareBasedCompensation"/>
            <w:bookmarkEnd w:id="889"/>
          </w:p>
        </w:tc>
        <w:tc>
          <w:tcPr>
            <w:tcW w:w="6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bookmarkStart w:id="890" w:name="xdx_981_eus-gaap--ShareBasedCompensation"/>
            <w:bookmarkEnd w:id="890"/>
          </w:p>
        </w:tc>
        <w:tc>
          <w:tcPr>
            <w:tcW w:w="9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1" w:name="xdx_98C_eus-gaap--ShareBasedCompensation"/>
            <w:bookmarkEnd w:id="891"/>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92" w:name="xdx_984_eus-gaap--ShareBasedCompensation"/>
            <w:bookmarkEnd w:id="892"/>
          </w:p>
        </w:tc>
        <w:tc>
          <w:tcPr>
            <w:tcW w:w="959" w:type="dxa"/>
            <w:tcBorders>
              <w:bottom w:val="single" w:sz="8" w:space="0" w:color="000000"/>
            </w:tcBorders>
            <w:shd w:fill="FFFFFF" w:val="clear"/>
            <w:tcMar>
              <w:bottom w:w="28" w:type="dxa"/>
            </w:tcMar>
            <w:vAlign w:val="center"/>
          </w:tcPr>
          <w:p>
            <w:pPr>
              <w:pStyle w:val="TableContents"/>
              <w:bidi w:val="0"/>
              <w:spacing w:before="0" w:after="283"/>
              <w:jc w:val="right"/>
              <w:rPr/>
            </w:pPr>
            <w:r>
              <w:rPr/>
              <w:t>1,527.27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893" w:name="xdx_90E_ecustom--SharebasedCompensationS"/>
            <w:bookmarkEnd w:id="893"/>
            <w:r>
              <w:rPr>
                <w:rFonts w:ascii="Times New Roman;Times;Serif" w:hAnsi="Times New Roman;Times;Serif"/>
                <w:sz w:val="20"/>
              </w:rPr>
              <w:t>256.80 — $</w:t>
            </w:r>
            <w:bookmarkStart w:id="894" w:name="xdx_902_ecustom--SharebasedCompensationS"/>
            <w:bookmarkEnd w:id="894"/>
            <w:r>
              <w:rPr>
                <w:rFonts w:ascii="Times New Roman;Times;Serif" w:hAnsi="Times New Roman;Times;Serif"/>
                <w:sz w:val="20"/>
              </w:rPr>
              <w:t>2,565.00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Total outstanding – December 31 ,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5" w:name="xdx_984_eus-gaap--ShareBasedCompensation"/>
            <w:bookmarkEnd w:id="895"/>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96" w:name="xdx_986_eus-gaap--ShareBasedCompensation"/>
            <w:bookmarkEnd w:id="896"/>
          </w:p>
        </w:tc>
        <w:tc>
          <w:tcPr>
            <w:tcW w:w="959" w:type="dxa"/>
            <w:tcBorders>
              <w:bottom w:val="double" w:sz="6" w:space="0" w:color="000000"/>
            </w:tcBorders>
            <w:shd w:fill="CCEEFF" w:val="clear"/>
            <w:tcMar>
              <w:bottom w:w="28" w:type="dxa"/>
            </w:tcMar>
            <w:vAlign w:val="center"/>
          </w:tcPr>
          <w:p>
            <w:pPr>
              <w:pStyle w:val="TableContents"/>
              <w:bidi w:val="0"/>
              <w:spacing w:before="0" w:after="283"/>
              <w:jc w:val="right"/>
              <w:rPr/>
            </w:pPr>
            <w:r>
              <w:rPr/>
              <w:t>2,028.88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897" w:name="xdx_900_eus-gaap--SharebasedCompensation"/>
            <w:bookmarkEnd w:id="897"/>
            <w:r>
              <w:rPr>
                <w:rFonts w:ascii="Times New Roman;Times;Serif" w:hAnsi="Times New Roman;Times;Serif"/>
                <w:sz w:val="20"/>
              </w:rPr>
              <w:t>256.80 — $</w:t>
            </w:r>
            <w:bookmarkStart w:id="898" w:name="xdx_909_eus-gaap--SharebasedCompensation"/>
            <w:bookmarkEnd w:id="898"/>
            <w:r>
              <w:rPr>
                <w:rFonts w:ascii="Times New Roman;Times;Serif" w:hAnsi="Times New Roman;Times;Serif"/>
                <w:sz w:val="20"/>
              </w:rPr>
              <w:t>2,485.00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99" w:name="xdx_901_eus-gaap--SharebasedCompensation"/>
            <w:bookmarkEnd w:id="899"/>
            <w:r>
              <w:rPr/>
              <w:t>4.86</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Exercisable (vested)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0" w:name="xdx_983_eus-gaap--ShareBasedCompensation"/>
            <w:bookmarkEnd w:id="900"/>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01" w:name="xdx_989_eus-gaap--ShareBasedCompensation"/>
            <w:bookmarkEnd w:id="901"/>
          </w:p>
        </w:tc>
        <w:tc>
          <w:tcPr>
            <w:tcW w:w="959" w:type="dxa"/>
            <w:tcBorders>
              <w:bottom w:val="double" w:sz="6" w:space="0" w:color="000000"/>
            </w:tcBorders>
            <w:shd w:fill="FFFFFF" w:val="clear"/>
            <w:tcMar>
              <w:bottom w:w="28" w:type="dxa"/>
            </w:tcMar>
            <w:vAlign w:val="center"/>
          </w:tcPr>
          <w:p>
            <w:pPr>
              <w:pStyle w:val="TableContents"/>
              <w:bidi w:val="0"/>
              <w:spacing w:before="0" w:after="283"/>
              <w:jc w:val="right"/>
              <w:rPr/>
            </w:pPr>
            <w:r>
              <w:rPr/>
              <w:t>2,028.88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902" w:name="xdx_90E_eus-gaap--SharebasedCompensation"/>
            <w:bookmarkEnd w:id="902"/>
            <w:r>
              <w:rPr>
                <w:rFonts w:ascii="Times New Roman;Times;Serif" w:hAnsi="Times New Roman;Times;Serif"/>
                <w:sz w:val="20"/>
              </w:rPr>
              <w:t>256.80 — $</w:t>
            </w:r>
            <w:bookmarkStart w:id="903" w:name="xdx_90A_eus-gaap--SharebasedCompensation"/>
            <w:bookmarkEnd w:id="903"/>
            <w:r>
              <w:rPr>
                <w:rFonts w:ascii="Times New Roman;Times;Serif" w:hAnsi="Times New Roman;Times;Serif"/>
                <w:sz w:val="20"/>
              </w:rPr>
              <w:t>2,485.00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04" w:name="xdx_907_eus-gaap--SharebasedCompensation"/>
            <w:bookmarkEnd w:id="904"/>
            <w:r>
              <w:rPr/>
              <w:t>4.86</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Non-Exercisable (non-vested)</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05" w:name="xdx_982_eus-gaap--SharebasedCompensation"/>
            <w:bookmarkEnd w:id="905"/>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06" w:name="xdx_98B_eus-gaap--ShareBasedCompensation"/>
            <w:bookmarkEnd w:id="906"/>
          </w:p>
        </w:tc>
        <w:tc>
          <w:tcPr>
            <w:tcW w:w="9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07" w:name="xdx_906_ecustom--SharebasedCompensationS"/>
            <w:bookmarkEnd w:id="90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 summary of the options granted to employees and non-employee service providers that were outstanding at December 31, 2024, and changes during the twelve months then ended:</w:t>
      </w:r>
    </w:p>
    <w:p>
      <w:pPr>
        <w:pStyle w:val="TextBody"/>
        <w:bidi w:val="0"/>
        <w:spacing w:before="0" w:after="0"/>
        <w:ind w:left="0" w:right="0" w:hanging="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00"/>
        <w:gridCol w:w="60"/>
        <w:gridCol w:w="61"/>
        <w:gridCol w:w="649"/>
        <w:gridCol w:w="95"/>
        <w:gridCol w:w="60"/>
        <w:gridCol w:w="156"/>
        <w:gridCol w:w="958"/>
        <w:gridCol w:w="60"/>
        <w:gridCol w:w="60"/>
        <w:gridCol w:w="140"/>
        <w:gridCol w:w="1700"/>
        <w:gridCol w:w="60"/>
        <w:gridCol w:w="60"/>
        <w:gridCol w:w="147"/>
        <w:gridCol w:w="1087"/>
        <w:gridCol w:w="75"/>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4"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vAlign w:val="center"/>
          </w:tcPr>
          <w:p>
            <w:pPr>
              <w:pStyle w:val="TableContents"/>
              <w:bidi w:val="0"/>
              <w:spacing w:before="0" w:after="283"/>
              <w:jc w:val="center"/>
              <w:rPr>
                <w:b/>
              </w:rPr>
            </w:pPr>
            <w:r>
              <w:rPr>
                <w:b/>
              </w:rPr>
              <w:t>Weighted–</w:t>
            </w:r>
          </w:p>
        </w:tc>
        <w:tc>
          <w:tcPr>
            <w:tcW w:w="75"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4"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40" w:type="dxa"/>
            <w:gridSpan w:val="2"/>
            <w:tcBorders/>
            <w:vAlign w:val="center"/>
          </w:tcPr>
          <w:p>
            <w:pPr>
              <w:pStyle w:val="TableContents"/>
              <w:bidi w:val="0"/>
              <w:spacing w:before="0" w:after="283"/>
              <w:jc w:val="center"/>
              <w:rPr>
                <w:b/>
              </w:rPr>
            </w:pPr>
            <w:r>
              <w:rPr>
                <w:b/>
              </w:rPr>
              <w:t>Range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vAlign w:val="center"/>
          </w:tcPr>
          <w:p>
            <w:pPr>
              <w:pStyle w:val="TableContents"/>
              <w:bidi w:val="0"/>
              <w:spacing w:before="0" w:after="283"/>
              <w:jc w:val="center"/>
              <w:rPr>
                <w:b/>
              </w:rPr>
            </w:pPr>
            <w:r>
              <w:rPr>
                <w:b/>
              </w:rPr>
              <w:t>Average</w:t>
            </w:r>
          </w:p>
        </w:tc>
        <w:tc>
          <w:tcPr>
            <w:tcW w:w="75"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4"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4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vAlign w:val="center"/>
          </w:tcPr>
          <w:p>
            <w:pPr>
              <w:pStyle w:val="TableContents"/>
              <w:bidi w:val="0"/>
              <w:spacing w:before="0" w:after="283"/>
              <w:jc w:val="center"/>
              <w:rPr>
                <w:b/>
              </w:rPr>
            </w:pPr>
            <w:r>
              <w:rPr>
                <w:b/>
              </w:rPr>
              <w:t>Remaining</w:t>
            </w:r>
          </w:p>
        </w:tc>
        <w:tc>
          <w:tcPr>
            <w:tcW w:w="75"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Life (Years)</w:t>
            </w:r>
          </w:p>
        </w:tc>
        <w:tc>
          <w:tcPr>
            <w:tcW w:w="75" w:type="dxa"/>
            <w:tcBorders/>
            <w:vAlign w:val="center"/>
          </w:tcPr>
          <w:p>
            <w:pPr>
              <w:pStyle w:val="TableContents"/>
              <w:bidi w:val="0"/>
              <w:spacing w:before="0" w:after="283"/>
              <w:jc w:val="center"/>
              <w:rPr/>
            </w:pPr>
            <w:r>
              <w:rPr/>
              <w:t> </w:t>
            </w:r>
          </w:p>
        </w:tc>
      </w:tr>
      <w:tr>
        <w:trPr/>
        <w:tc>
          <w:tcPr>
            <w:tcW w:w="3800" w:type="dxa"/>
            <w:tcBorders/>
            <w:shd w:fill="CCEEFF" w:val="clear"/>
            <w:vAlign w:val="center"/>
          </w:tcPr>
          <w:p>
            <w:pPr>
              <w:pStyle w:val="TableContents"/>
              <w:bidi w:val="0"/>
              <w:spacing w:before="0" w:after="283"/>
              <w:jc w:val="left"/>
              <w:rPr/>
            </w:pPr>
            <w:r>
              <w:rPr/>
              <w:t>Total outstanding – December 31,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08" w:name="xdx_981_eus-gaap--ShareBasedCompensation"/>
            <w:bookmarkEnd w:id="908"/>
          </w:p>
        </w:tc>
        <w:tc>
          <w:tcPr>
            <w:tcW w:w="649" w:type="dxa"/>
            <w:tcBorders/>
            <w:shd w:fill="CCEEFF" w:val="clear"/>
            <w:vAlign w:val="center"/>
          </w:tcPr>
          <w:p>
            <w:pPr>
              <w:pStyle w:val="TableContents"/>
              <w:bidi w:val="0"/>
              <w:spacing w:before="0" w:after="283"/>
              <w:jc w:val="right"/>
              <w:rPr/>
            </w:pPr>
            <w:r>
              <w:rPr/>
              <w:t>7,978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bookmarkStart w:id="909" w:name="xdx_988_eus-gaap--ShareBasedCompensation"/>
            <w:bookmarkEnd w:id="909"/>
          </w:p>
        </w:tc>
        <w:tc>
          <w:tcPr>
            <w:tcW w:w="958" w:type="dxa"/>
            <w:tcBorders/>
            <w:shd w:fill="CCEEFF" w:val="clear"/>
            <w:vAlign w:val="center"/>
          </w:tcPr>
          <w:p>
            <w:pPr>
              <w:pStyle w:val="TableContents"/>
              <w:bidi w:val="0"/>
              <w:spacing w:before="0" w:after="283"/>
              <w:jc w:val="right"/>
              <w:rPr/>
            </w:pPr>
            <w:r>
              <w:rPr/>
              <w:t>1,760.26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00" w:type="dxa"/>
            <w:tcBorders/>
            <w:shd w:fill="CCEEFF" w:val="clear"/>
            <w:vAlign w:val="center"/>
          </w:tcPr>
          <w:p>
            <w:pPr>
              <w:pStyle w:val="TableContents"/>
              <w:bidi w:val="0"/>
              <w:spacing w:before="0" w:after="283"/>
              <w:jc w:val="right"/>
              <w:rPr>
                <w:rFonts w:ascii="Times New Roman;Times;Serif" w:hAnsi="Times New Roman;Times;Serif"/>
                <w:sz w:val="20"/>
              </w:rPr>
            </w:pPr>
            <w:bookmarkStart w:id="910" w:name="xdx_902_eus-gaap--SharebasedCompensation"/>
            <w:bookmarkEnd w:id="910"/>
            <w:r>
              <w:rPr>
                <w:rFonts w:ascii="Times New Roman;Times;Serif" w:hAnsi="Times New Roman;Times;Serif"/>
                <w:sz w:val="20"/>
              </w:rPr>
              <w:t>256.80 — $</w:t>
            </w:r>
            <w:bookmarkStart w:id="911" w:name="xdx_909_eus-gaap--SharebasedCompensation"/>
            <w:bookmarkEnd w:id="911"/>
            <w:r>
              <w:rPr>
                <w:rFonts w:ascii="Times New Roman;Times;Serif" w:hAnsi="Times New Roman;Times;Serif"/>
                <w:sz w:val="20"/>
              </w:rPr>
              <w:t>2,565.00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912" w:name="xdx_905_eus-gaap--SharebasedCompensation"/>
            <w:bookmarkEnd w:id="912"/>
            <w:r>
              <w:rPr/>
              <w:t>7.06</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13" w:name="xdx_981_eus-gaap--ShareBasedCompensation"/>
            <w:bookmarkEnd w:id="913"/>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914" w:name="xdx_98D_eus-gaap--ShareBasedCompensation"/>
            <w:bookmarkEnd w:id="914"/>
          </w:p>
        </w:tc>
        <w:tc>
          <w:tcPr>
            <w:tcW w:w="9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15" w:name="xdx_985_eus-gaap--ShareBasedCompensation"/>
            <w:bookmarkEnd w:id="915"/>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bookmarkStart w:id="916" w:name="xdx_987_eus-gaap--ShareBasedCompensation"/>
            <w:bookmarkEnd w:id="916"/>
          </w:p>
        </w:tc>
        <w:tc>
          <w:tcPr>
            <w:tcW w:w="9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7" w:name="xdx_98C_eus-gaap--ShareBasedCompensation"/>
            <w:bookmarkEnd w:id="917"/>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(6,108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918" w:name="xdx_98D_eus-gaap--ShareBasedCompensation"/>
            <w:bookmarkEnd w:id="918"/>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pPr>
            <w:r>
              <w:rPr/>
              <w:t>1,703.64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919" w:name="xdx_90A_ecustom--SharebasedCompensationS"/>
            <w:bookmarkEnd w:id="919"/>
            <w:r>
              <w:rPr>
                <w:rFonts w:ascii="Times New Roman;Times;Serif" w:hAnsi="Times New Roman;Times;Serif"/>
                <w:sz w:val="20"/>
              </w:rPr>
              <w:t>256.80 — $</w:t>
            </w:r>
            <w:bookmarkStart w:id="920" w:name="xdx_904_ecustom--SharebasedCompensationS"/>
            <w:bookmarkEnd w:id="920"/>
            <w:r>
              <w:rPr>
                <w:rFonts w:ascii="Times New Roman;Times;Serif" w:hAnsi="Times New Roman;Times;Serif"/>
                <w:sz w:val="20"/>
              </w:rPr>
              <w:t>2,565.00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outstanding –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21" w:name="xdx_988_eus-gaap--ShareBasedCompensation"/>
            <w:bookmarkEnd w:id="921"/>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1,870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2" w:name="xdx_984_eus-gaap--ShareBasedCompensation"/>
            <w:bookmarkEnd w:id="922"/>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pPr>
            <w:r>
              <w:rPr/>
              <w:t>1,948.41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923" w:name="xdx_90B_eus-gaap--SharebasedCompensation"/>
            <w:bookmarkEnd w:id="923"/>
            <w:r>
              <w:rPr>
                <w:rFonts w:ascii="Times New Roman;Times;Serif" w:hAnsi="Times New Roman;Times;Serif"/>
                <w:sz w:val="20"/>
              </w:rPr>
              <w:t>256.80 — $</w:t>
            </w:r>
            <w:bookmarkStart w:id="924" w:name="xdx_909_eus-gaap--SharebasedCompensation"/>
            <w:bookmarkEnd w:id="924"/>
            <w:r>
              <w:rPr>
                <w:rFonts w:ascii="Times New Roman;Times;Serif" w:hAnsi="Times New Roman;Times;Serif"/>
                <w:sz w:val="20"/>
              </w:rPr>
              <w:t>2,565.00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25" w:name="xdx_904_eus-gaap--SharebasedCompensation"/>
            <w:bookmarkEnd w:id="925"/>
            <w:r>
              <w:rPr/>
              <w:t>5.93</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Exercisable (vested)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6" w:name="xdx_987_eus-gaap--ShareBasedCompensation"/>
            <w:bookmarkEnd w:id="926"/>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pPr>
            <w:r>
              <w:rPr/>
              <w:t>1,714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27" w:name="xdx_985_eus-gaap--ShareBasedCompensation"/>
            <w:bookmarkEnd w:id="927"/>
          </w:p>
        </w:tc>
        <w:tc>
          <w:tcPr>
            <w:tcW w:w="958" w:type="dxa"/>
            <w:tcBorders>
              <w:bottom w:val="double" w:sz="6" w:space="0" w:color="000000"/>
            </w:tcBorders>
            <w:shd w:fill="FFFFFF" w:val="clear"/>
            <w:tcMar>
              <w:bottom w:w="28" w:type="dxa"/>
            </w:tcMar>
            <w:vAlign w:val="center"/>
          </w:tcPr>
          <w:p>
            <w:pPr>
              <w:pStyle w:val="TableContents"/>
              <w:bidi w:val="0"/>
              <w:spacing w:before="0" w:after="283"/>
              <w:jc w:val="right"/>
              <w:rPr/>
            </w:pPr>
            <w:r>
              <w:rPr/>
              <w:t>2,085.52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928" w:name="xdx_90F_eus-gaap--SharebasedCompensation"/>
            <w:bookmarkEnd w:id="928"/>
            <w:r>
              <w:rPr>
                <w:rFonts w:ascii="Times New Roman;Times;Serif" w:hAnsi="Times New Roman;Times;Serif"/>
                <w:sz w:val="20"/>
              </w:rPr>
              <w:t>256.80 — $</w:t>
            </w:r>
            <w:bookmarkStart w:id="929" w:name="xdx_900_eus-gaap--SharebasedCompensation"/>
            <w:bookmarkEnd w:id="929"/>
            <w:r>
              <w:rPr>
                <w:rFonts w:ascii="Times New Roman;Times;Serif" w:hAnsi="Times New Roman;Times;Serif"/>
                <w:sz w:val="20"/>
              </w:rPr>
              <w:t>2,565.00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30" w:name="xdx_902_eus-gaap--SharebasedCompensation"/>
            <w:bookmarkEnd w:id="930"/>
            <w:r>
              <w:rPr/>
              <w:t>5.81</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Non-Exercisable (non-vested)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31" w:name="xdx_981_eus-gaap--SharebasedCompensation"/>
            <w:bookmarkEnd w:id="931"/>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32" w:name="xdx_98A_eus-gaap--ShareBasedCompensation"/>
            <w:bookmarkEnd w:id="932"/>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pPr>
            <w:r>
              <w:rPr/>
              <w:t>442.02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933" w:name="xdx_909_ecustom--SharebasedCompensationS"/>
            <w:bookmarkEnd w:id="933"/>
            <w:r>
              <w:rPr>
                <w:rFonts w:ascii="Times New Roman;Times;Serif" w:hAnsi="Times New Roman;Times;Serif"/>
                <w:sz w:val="20"/>
              </w:rPr>
              <w:t>256.80 — $</w:t>
            </w:r>
            <w:bookmarkStart w:id="934" w:name="xdx_90C_ecustom--SharebasedCompensationS"/>
            <w:bookmarkEnd w:id="934"/>
            <w:r>
              <w:rPr>
                <w:rFonts w:ascii="Times New Roman;Times;Serif" w:hAnsi="Times New Roman;Times;Serif"/>
                <w:sz w:val="20"/>
              </w:rPr>
              <w:t>620.00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35" w:name="xdx_90F_ecustom--WeightedAverageRemainin"/>
            <w:bookmarkEnd w:id="935"/>
            <w:r>
              <w:rPr/>
              <w:t>7.24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6" w:name="xdx_8AA_zYNIoVxxN6P3"/>
      <w:bookmarkEnd w:id="93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w:t>
      </w:r>
      <w:bookmarkStart w:id="937" w:name="xdx_908_eus-gaap--ShareBasedCompensation"/>
      <w:bookmarkEnd w:id="937"/>
      <w:r>
        <w:rPr>
          <w:rFonts w:ascii="Times New Roman;Times;Serif" w:hAnsi="Times New Roman;Times;Serif"/>
          <w:b w:val="false"/>
          <w:i w:val="false"/>
          <w:caps w:val="false"/>
          <w:smallCaps w:val="false"/>
          <w:sz w:val="20"/>
        </w:rPr>
        <w:t>269 and $</w:t>
      </w:r>
      <w:bookmarkStart w:id="938" w:name="xdx_901_eus-gaap--ShareBasedCompensation"/>
      <w:bookmarkEnd w:id="938"/>
      <w:r>
        <w:rPr>
          <w:rFonts w:ascii="Times New Roman;Times;Serif" w:hAnsi="Times New Roman;Times;Serif"/>
          <w:b w:val="false"/>
          <w:i w:val="false"/>
          <w:caps w:val="false"/>
          <w:smallCaps w:val="false"/>
          <w:sz w:val="20"/>
        </w:rPr>
        <w:t>128,059 of compensation costs related to outstanding options for the years ended December 31, 2025 and 2024, respectively. In the year ended December 31, 2025, $</w:t>
      </w:r>
      <w:bookmarkStart w:id="939" w:name="xdx_90C_eus-gaap--ShareBasedCompensation"/>
      <w:bookmarkEnd w:id="939"/>
      <w:r>
        <w:rPr>
          <w:rFonts w:ascii="Times New Roman;Times;Serif" w:hAnsi="Times New Roman;Times;Serif"/>
          <w:b w:val="false"/>
          <w:i w:val="false"/>
          <w:caps w:val="false"/>
          <w:smallCaps w:val="false"/>
          <w:sz w:val="20"/>
        </w:rPr>
        <w:t xml:space="preserve">269 was classified under general and administrative expense and </w:t>
      </w:r>
      <w:bookmarkStart w:id="940" w:name="xdx_906_eus-gaap--ShareBasedCompensation"/>
      <w:bookmarkEnd w:id="940"/>
      <w:r>
        <w:rPr>
          <w:rFonts w:ascii="Times New Roman;Times;Serif" w:hAnsi="Times New Roman;Times;Serif"/>
          <w:b w:val="false"/>
          <w:i w:val="false"/>
          <w:caps w:val="false"/>
          <w:smallCaps w:val="false"/>
          <w:sz w:val="20"/>
        </w:rPr>
        <w:t>none was recorded under research and development expense. In the year ended December 31, 2024, $</w:t>
      </w:r>
      <w:bookmarkStart w:id="941" w:name="xdx_90E_eus-gaap--ShareBasedCompensation"/>
      <w:bookmarkEnd w:id="941"/>
      <w:r>
        <w:rPr>
          <w:rFonts w:ascii="Times New Roman;Times;Serif" w:hAnsi="Times New Roman;Times;Serif"/>
          <w:b w:val="false"/>
          <w:i w:val="false"/>
          <w:caps w:val="false"/>
          <w:smallCaps w:val="false"/>
          <w:sz w:val="20"/>
        </w:rPr>
        <w:t>103,378 was classified under general and administrative expense and $</w:t>
      </w:r>
      <w:bookmarkStart w:id="942" w:name="xdx_903_eus-gaap--ShareBasedCompensation"/>
      <w:bookmarkEnd w:id="942"/>
      <w:r>
        <w:rPr>
          <w:rFonts w:ascii="Times New Roman;Times;Serif" w:hAnsi="Times New Roman;Times;Serif"/>
          <w:b w:val="false"/>
          <w:i w:val="false"/>
          <w:caps w:val="false"/>
          <w:smallCaps w:val="false"/>
          <w:sz w:val="20"/>
        </w:rPr>
        <w:t xml:space="preserve">24,681 was recorded under research and development expense. As of December 31, 2025, there was </w:t>
      </w:r>
      <w:bookmarkStart w:id="943" w:name="xdx_90B_eus-gaap--EmployeeServiceShareBa"/>
      <w:bookmarkEnd w:id="943"/>
      <w:r>
        <w:rPr>
          <w:rFonts w:ascii="Times New Roman;Times;Serif" w:hAnsi="Times New Roman;Times;Serif"/>
          <w:b w:val="false"/>
          <w:i w:val="false"/>
          <w:caps w:val="false"/>
          <w:smallCaps w:val="false"/>
          <w:sz w:val="20"/>
        </w:rPr>
        <w:t>no unrecognized compensation cost related to unvested stock-based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an option issued under the 2020 Plan is determined by the Board of Directors, but will be (i) in the case of an incentive stock option (A) granted to an employee who, at the time of grant of such option, is a 10% stockholder, no less than 110% of the fair market value per share on the date of grant; or (B) granted to any other employee, no less than 100% of the fair market value per share on the date of grant; and (ii) in the case of a non-statutory stock option, no less than 100% of the fair market value per share on the date of grant. The options awarded under the 2020 Plan will vest as determined by the Board of Directors but will not exceed a ten-year period. A forfeiture is recognized as incurred if the option holder does not exercise after 90 days following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options were granted or exercised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Black-Scholes option pricing model to value awards under its equity plans. Key valuation assumptions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The expected dividend is assumed to be zero, as the Company has never paid dividends and has no current plans to pay any dividends on the Company’s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stock-price volatility.</w:t>
            </w:r>
            <w:r>
              <w:rPr>
                <w:rFonts w:ascii="Times New Roman;Times;Serif" w:hAnsi="Times New Roman;Times;Serif"/>
                <w:b w:val="false"/>
                <w:i w:val="false"/>
                <w:caps w:val="false"/>
                <w:smallCaps w:val="false"/>
                <w:sz w:val="20"/>
              </w:rPr>
              <w:t xml:space="preserve"> The Company’s expected volatility is derived from the average historical volatilities of publicly traded companies within the Company’s industry that the Company considers to be comparable to the Company’s business over a period approximately equal to the expected term, because the Company does not have sufficient stock price history over the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The risk-free interest rate is based on the U.S. Treasury yield in effect at the time of grant for zero coupon U.S. Treasury notes with maturities approximately equal to the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The expected term represents the period that the stock-based awards are expected to be outstanding. The Company’s historical share option exercise experience does not provide a reasonable basis upon which to estimate an expected term because of a lack of sufficient data. Therefore, the Company estimates the expected term by using the simplified method provided by the SEC. The simplified method calculates the expected term as the average of the time-to-vesting and the contractual life of the options.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Compensatory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May 2020 reverse recapitalization transaction, the Company issued equity classified compensatory common stock warrants to an advisor and its designees. In addition, various service providers hold equity classified compensatory common stock warrants issued in 2017 and earlier (originally exercisable to purchase Series C convertible preferred stock, and now instead exercisable to purchase common stock). These are to be differentiated from the Series C Warrants described in Note 9- Warrant Liabilities. As of December 31, 2025, warrants to purchase </w:t>
      </w:r>
      <w:bookmarkStart w:id="944" w:name="xdx_909_eus-gaap--ClassOfWarrantOrRightN"/>
      <w:bookmarkEnd w:id="944"/>
      <w:r>
        <w:rPr>
          <w:rFonts w:ascii="Times New Roman;Times;Serif" w:hAnsi="Times New Roman;Times;Serif"/>
          <w:b w:val="false"/>
          <w:i w:val="false"/>
          <w:caps w:val="false"/>
          <w:smallCaps w:val="false"/>
          <w:sz w:val="20"/>
        </w:rPr>
        <w:t>160  shares of the Company’s common stock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27, 2024, as a result of a down-round provision triggered by a Securities Purchase Agreement with Alpha for the purchase of the February 2024 Debenture, </w:t>
      </w:r>
      <w:bookmarkStart w:id="945" w:name="xdx_90C_eus-gaap--ClassOfWarrantOrRightN"/>
      <w:bookmarkEnd w:id="945"/>
      <w:r>
        <w:rPr>
          <w:rFonts w:ascii="Times New Roman;Times;Serif" w:hAnsi="Times New Roman;Times;Serif"/>
          <w:b w:val="false"/>
          <w:i w:val="false"/>
          <w:caps w:val="false"/>
          <w:smallCaps w:val="false"/>
          <w:sz w:val="20"/>
        </w:rPr>
        <w:t>1,353 warrants were repriced from $</w:t>
      </w:r>
      <w:bookmarkStart w:id="946" w:name="xdx_900_eus-gaap--ClassOfWarrantOrRightE"/>
      <w:bookmarkEnd w:id="946"/>
      <w:r>
        <w:rPr>
          <w:rFonts w:ascii="Times New Roman;Times;Serif" w:hAnsi="Times New Roman;Times;Serif"/>
          <w:b w:val="false"/>
          <w:i w:val="false"/>
          <w:caps w:val="false"/>
          <w:smallCaps w:val="false"/>
          <w:sz w:val="20"/>
        </w:rPr>
        <w:t>36.50 per share exercise price to $</w:t>
      </w:r>
      <w:bookmarkStart w:id="947" w:name="xdx_904_eus-gaap--ClassOfWarrantOrRightE"/>
      <w:bookmarkEnd w:id="947"/>
      <w:r>
        <w:rPr>
          <w:rFonts w:ascii="Times New Roman;Times;Serif" w:hAnsi="Times New Roman;Times;Serif"/>
          <w:b w:val="false"/>
          <w:i w:val="false"/>
          <w:caps w:val="false"/>
          <w:smallCaps w:val="false"/>
          <w:sz w:val="20"/>
        </w:rPr>
        <w:t>13.50 per share exercise price. The increase in fair value of $</w:t>
      </w:r>
      <w:bookmarkStart w:id="948" w:name="xdx_908_eus-gaap--FairValueAdjustmentOfW"/>
      <w:bookmarkEnd w:id="948"/>
      <w:r>
        <w:rPr>
          <w:rFonts w:ascii="Times New Roman;Times;Serif" w:hAnsi="Times New Roman;Times;Serif"/>
          <w:b w:val="false"/>
          <w:i w:val="false"/>
          <w:caps w:val="false"/>
          <w:smallCaps w:val="false"/>
          <w:sz w:val="20"/>
        </w:rPr>
        <w:t xml:space="preserve">9,737 for the modification of these warrants was charged to general and administrative expenses in the Company’s consolidated statements of operations and comprehensive loss. On September 6, 2024 as a result of a down-round provision triggered by shares sold in the public offering, these </w:t>
      </w:r>
      <w:bookmarkStart w:id="949" w:name="xdx_900_eus-gaap--ClassOfWarrantOrRightN"/>
      <w:bookmarkEnd w:id="949"/>
      <w:r>
        <w:rPr>
          <w:rFonts w:ascii="Times New Roman;Times;Serif" w:hAnsi="Times New Roman;Times;Serif"/>
          <w:b w:val="false"/>
          <w:i w:val="false"/>
          <w:caps w:val="false"/>
          <w:smallCaps w:val="false"/>
          <w:sz w:val="20"/>
        </w:rPr>
        <w:t>1,353 warrants were repriced again from $</w:t>
      </w:r>
      <w:bookmarkStart w:id="950" w:name="xdx_90A_eus-gaap--ClassOfWarrantOrRightE"/>
      <w:bookmarkEnd w:id="950"/>
      <w:r>
        <w:rPr>
          <w:rFonts w:ascii="Times New Roman;Times;Serif" w:hAnsi="Times New Roman;Times;Serif"/>
          <w:b w:val="false"/>
          <w:i w:val="false"/>
          <w:caps w:val="false"/>
          <w:smallCaps w:val="false"/>
          <w:sz w:val="20"/>
        </w:rPr>
        <w:t>13.50 per share exercise price to $</w:t>
      </w:r>
      <w:bookmarkStart w:id="951" w:name="xdx_906_eus-gaap--ClassOfWarrantOrRightE"/>
      <w:bookmarkEnd w:id="951"/>
      <w:r>
        <w:rPr>
          <w:rFonts w:ascii="Times New Roman;Times;Serif" w:hAnsi="Times New Roman;Times;Serif"/>
          <w:b w:val="false"/>
          <w:i w:val="false"/>
          <w:caps w:val="false"/>
          <w:smallCaps w:val="false"/>
          <w:sz w:val="20"/>
        </w:rPr>
        <w:t>6.50 per share exercise price. These warrants were reclassified to warrant liabilities during the year ended December 31, 2024 and expired during the year ended December 31, 2025 (See Note 9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2" w:name="xdx_90B_eus-gaap--ShareBasedCompensation"/>
      <w:bookmarkStart w:id="953" w:name="xdx_905_eus-gaap--ShareBasedCompensation"/>
      <w:bookmarkEnd w:id="952"/>
      <w:bookmarkEnd w:id="953"/>
      <w:r>
        <w:rPr>
          <w:rFonts w:ascii="Times New Roman;Times;Serif" w:hAnsi="Times New Roman;Times;Serif"/>
          <w:b w:val="false"/>
          <w:i w:val="false"/>
          <w:caps w:val="false"/>
          <w:smallCaps w:val="false"/>
          <w:sz w:val="20"/>
        </w:rPr>
        <w:t>No new compensatory warrants were issued during the years ended December 31, 2025 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4" w:name="xdx_898_ecustom--SummaryOfWarrantActivit"/>
      <w:bookmarkEnd w:id="954"/>
      <w:r>
        <w:rPr>
          <w:rFonts w:ascii="Times New Roman;Times;Serif" w:hAnsi="Times New Roman;Times;Serif"/>
          <w:b w:val="false"/>
          <w:i w:val="false"/>
          <w:caps w:val="false"/>
          <w:smallCaps w:val="false"/>
          <w:sz w:val="20"/>
        </w:rPr>
        <w:t>The following table summarizes the equity classified compensatory warrant activity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955" w:name="xdx_8B1_z2FOMAzjDhZ5"/>
      <w:bookmarkEnd w:id="955"/>
      <w:r>
        <w:rPr>
          <w:rFonts w:ascii="Times New Roman;Times;Serif" w:hAnsi="Times New Roman;Times;Serif"/>
          <w:b w:val="false"/>
          <w:i w:val="false"/>
          <w:caps w:val="false"/>
          <w:smallCaps w:val="false"/>
          <w:sz w:val="20"/>
        </w:rPr>
        <w:t>SCHEDULE OF COMPENSATORY WARRANT ACTIVITY</w:t>
      </w:r>
    </w:p>
    <w:tbl>
      <w:tblPr>
        <w:tblW w:w="10205" w:type="dxa"/>
        <w:jc w:val="left"/>
        <w:tblInd w:w="0" w:type="dxa"/>
        <w:tblLayout w:type="fixed"/>
        <w:tblCellMar>
          <w:top w:w="0" w:type="dxa"/>
          <w:left w:w="0" w:type="dxa"/>
          <w:bottom w:w="0" w:type="dxa"/>
          <w:right w:w="0" w:type="dxa"/>
        </w:tblCellMar>
      </w:tblPr>
      <w:tblGrid>
        <w:gridCol w:w="3784"/>
        <w:gridCol w:w="60"/>
        <w:gridCol w:w="61"/>
        <w:gridCol w:w="649"/>
        <w:gridCol w:w="95"/>
        <w:gridCol w:w="60"/>
        <w:gridCol w:w="274"/>
        <w:gridCol w:w="1688"/>
        <w:gridCol w:w="60"/>
        <w:gridCol w:w="60"/>
        <w:gridCol w:w="140"/>
        <w:gridCol w:w="1844"/>
        <w:gridCol w:w="60"/>
        <w:gridCol w:w="60"/>
        <w:gridCol w:w="146"/>
        <w:gridCol w:w="1086"/>
        <w:gridCol w:w="78"/>
      </w:tblGrid>
      <w:tr>
        <w:trPr/>
        <w:tc>
          <w:tcPr>
            <w:tcW w:w="3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8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78" w:type="dxa"/>
            <w:tcBorders/>
            <w:vAlign w:val="center"/>
          </w:tcPr>
          <w:p>
            <w:pPr>
              <w:pStyle w:val="TableContents"/>
              <w:bidi w:val="0"/>
              <w:spacing w:before="0" w:after="283"/>
              <w:jc w:val="left"/>
              <w:rPr/>
            </w:pPr>
            <w:r>
              <w:rPr/>
              <w:t> </w:t>
            </w:r>
          </w:p>
        </w:tc>
      </w:tr>
      <w:tr>
        <w:trPr/>
        <w:tc>
          <w:tcPr>
            <w:tcW w:w="37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78" w:type="dxa"/>
            <w:tcBorders/>
            <w:vAlign w:val="center"/>
          </w:tcPr>
          <w:p>
            <w:pPr>
              <w:pStyle w:val="TableContents"/>
              <w:bidi w:val="0"/>
              <w:spacing w:before="0" w:after="283"/>
              <w:jc w:val="left"/>
              <w:rPr/>
            </w:pPr>
            <w:r>
              <w:rPr/>
              <w:t> </w:t>
            </w:r>
          </w:p>
        </w:tc>
      </w:tr>
      <w:tr>
        <w:trPr/>
        <w:tc>
          <w:tcPr>
            <w:tcW w:w="3784" w:type="dxa"/>
            <w:tcBorders/>
            <w:shd w:fill="CCEEFF" w:val="clear"/>
            <w:vAlign w:val="center"/>
          </w:tcPr>
          <w:p>
            <w:pPr>
              <w:pStyle w:val="TableContents"/>
              <w:bidi w:val="0"/>
              <w:spacing w:before="0" w:after="283"/>
              <w:jc w:val="left"/>
              <w:rPr/>
            </w:pPr>
            <w:r>
              <w:rPr/>
              <w:t>Total outstanding –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56" w:name="xdx_982_eus-gaap--ShareBasedCompensation"/>
            <w:bookmarkEnd w:id="956"/>
          </w:p>
        </w:tc>
        <w:tc>
          <w:tcPr>
            <w:tcW w:w="649" w:type="dxa"/>
            <w:tcBorders/>
            <w:shd w:fill="CCEEFF" w:val="clear"/>
            <w:vAlign w:val="center"/>
          </w:tcPr>
          <w:p>
            <w:pPr>
              <w:pStyle w:val="TableContents"/>
              <w:bidi w:val="0"/>
              <w:spacing w:before="0" w:after="283"/>
              <w:jc w:val="right"/>
              <w:rPr/>
            </w:pPr>
            <w:r>
              <w:rPr/>
              <w:t>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957" w:name="xdx_982_ecustom--ShareBasedCompensationA"/>
            <w:bookmarkEnd w:id="957"/>
          </w:p>
        </w:tc>
        <w:tc>
          <w:tcPr>
            <w:tcW w:w="1688" w:type="dxa"/>
            <w:tcBorders/>
            <w:shd w:fill="CCEEFF" w:val="clear"/>
            <w:vAlign w:val="center"/>
          </w:tcPr>
          <w:p>
            <w:pPr>
              <w:pStyle w:val="TableContents"/>
              <w:bidi w:val="0"/>
              <w:spacing w:before="0" w:after="283"/>
              <w:jc w:val="right"/>
              <w:rPr/>
            </w:pPr>
            <w:r>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844" w:type="dxa"/>
            <w:tcBorders/>
            <w:shd w:fill="CCEEFF" w:val="clear"/>
            <w:vAlign w:val="center"/>
          </w:tcPr>
          <w:p>
            <w:pPr>
              <w:pStyle w:val="TableContents"/>
              <w:bidi w:val="0"/>
              <w:spacing w:before="0" w:after="283"/>
              <w:jc w:val="right"/>
              <w:rPr>
                <w:rFonts w:ascii="Times New Roman;Times;Serif" w:hAnsi="Times New Roman;Times;Serif"/>
                <w:sz w:val="20"/>
              </w:rPr>
            </w:pPr>
            <w:bookmarkStart w:id="958" w:name="xdx_907_ecustom--RangeOfExercisePriceOut"/>
            <w:bookmarkEnd w:id="958"/>
            <w:r>
              <w:rPr>
                <w:rFonts w:ascii="Times New Roman;Times;Serif" w:hAnsi="Times New Roman;Times;Serif"/>
                <w:sz w:val="20"/>
              </w:rPr>
              <w:t>1,270.25 — $</w:t>
            </w:r>
            <w:bookmarkStart w:id="959" w:name="xdx_903_ecustom--RangeOfExercisePriceOut"/>
            <w:bookmarkEnd w:id="959"/>
            <w:r>
              <w:rPr>
                <w:rFonts w:ascii="Times New Roman;Times;Serif" w:hAnsi="Times New Roman;Times;Serif"/>
                <w:sz w:val="20"/>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bookmarkStart w:id="960" w:name="xdx_90A_ecustom--ShareBasedCompensationA"/>
            <w:bookmarkEnd w:id="960"/>
            <w:r>
              <w:rPr/>
              <w:t>0.69</w:t>
            </w:r>
          </w:p>
        </w:tc>
        <w:tc>
          <w:tcPr>
            <w:tcW w:w="78" w:type="dxa"/>
            <w:tcBorders/>
            <w:shd w:fill="CCEEFF" w:val="clear"/>
            <w:vAlign w:val="center"/>
          </w:tcPr>
          <w:p>
            <w:pPr>
              <w:pStyle w:val="TableContents"/>
              <w:bidi w:val="0"/>
              <w:spacing w:before="0" w:after="283"/>
              <w:jc w:val="left"/>
              <w:rPr/>
            </w:pPr>
            <w:r>
              <w:rPr/>
              <w:t> </w:t>
            </w:r>
          </w:p>
        </w:tc>
      </w:tr>
      <w:tr>
        <w:trPr/>
        <w:tc>
          <w:tcPr>
            <w:tcW w:w="3784"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61" w:name="xdx_986_eus-gaap--ShareBasedCompensation"/>
            <w:bookmarkEnd w:id="961"/>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bookmarkStart w:id="962" w:name="xdx_98C_ecustom--ShareBasedCompensationA"/>
            <w:bookmarkEnd w:id="962"/>
          </w:p>
        </w:tc>
        <w:tc>
          <w:tcPr>
            <w:tcW w:w="1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8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3784"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63" w:name="xdx_982_eus-gaap--ShareBasedCompensation"/>
            <w:bookmarkEnd w:id="963"/>
          </w:p>
        </w:tc>
        <w:tc>
          <w:tcPr>
            <w:tcW w:w="649" w:type="dxa"/>
            <w:tcBorders/>
            <w:shd w:fill="CCEEFF" w:val="clear"/>
            <w:vAlign w:val="center"/>
          </w:tcPr>
          <w:p>
            <w:pPr>
              <w:pStyle w:val="TableContents"/>
              <w:bidi w:val="0"/>
              <w:spacing w:before="0" w:after="283"/>
              <w:jc w:val="right"/>
              <w:rPr/>
            </w:pPr>
            <w:r>
              <w:rPr/>
              <w:t>(349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964" w:name="xdx_98F_ecustom--ShareBasedCompensationA"/>
            <w:bookmarkEnd w:id="964"/>
          </w:p>
        </w:tc>
        <w:tc>
          <w:tcPr>
            <w:tcW w:w="1688" w:type="dxa"/>
            <w:tcBorders/>
            <w:shd w:fill="CCEEFF" w:val="clear"/>
            <w:vAlign w:val="center"/>
          </w:tcPr>
          <w:p>
            <w:pPr>
              <w:pStyle w:val="TableContents"/>
              <w:bidi w:val="0"/>
              <w:spacing w:before="0" w:after="283"/>
              <w:jc w:val="right"/>
              <w:rPr/>
            </w:pPr>
            <w:r>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844" w:type="dxa"/>
            <w:tcBorders/>
            <w:shd w:fill="CCEEFF" w:val="clear"/>
            <w:vAlign w:val="center"/>
          </w:tcPr>
          <w:p>
            <w:pPr>
              <w:pStyle w:val="TableContents"/>
              <w:bidi w:val="0"/>
              <w:spacing w:before="0" w:after="283"/>
              <w:jc w:val="right"/>
              <w:rPr>
                <w:rFonts w:ascii="Times New Roman;Times;Serif" w:hAnsi="Times New Roman;Times;Serif"/>
                <w:sz w:val="20"/>
              </w:rPr>
            </w:pPr>
            <w:bookmarkStart w:id="965" w:name="xdx_90C_ecustom--RangeOfExercisePriceExp"/>
            <w:bookmarkEnd w:id="965"/>
            <w:r>
              <w:rPr>
                <w:rFonts w:ascii="Times New Roman;Times;Serif" w:hAnsi="Times New Roman;Times;Serif"/>
                <w:sz w:val="20"/>
              </w:rPr>
              <w:t>1,270.25 — $</w:t>
            </w:r>
            <w:bookmarkStart w:id="966" w:name="xdx_90A_ecustom--RangeOfExercisePriceExp"/>
            <w:bookmarkEnd w:id="966"/>
            <w:r>
              <w:rPr>
                <w:rFonts w:ascii="Times New Roman;Times;Serif" w:hAnsi="Times New Roman;Times;Serif"/>
                <w:sz w:val="20"/>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784" w:type="dxa"/>
            <w:tcBorders/>
            <w:shd w:fill="FFFFFF" w:val="clear"/>
            <w:vAlign w:val="center"/>
          </w:tcPr>
          <w:p>
            <w:pPr>
              <w:pStyle w:val="TableContents"/>
              <w:bidi w:val="0"/>
              <w:spacing w:before="0" w:after="283"/>
              <w:jc w:val="left"/>
              <w:rPr/>
            </w:pPr>
            <w:r>
              <w:rPr/>
              <w:t>Reclassified to liabilities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67" w:name="xdx_98F_ecustom--ShareBasedCompensationA"/>
            <w:bookmarkEnd w:id="967"/>
          </w:p>
        </w:tc>
        <w:tc>
          <w:tcPr>
            <w:tcW w:w="649" w:type="dxa"/>
            <w:tcBorders/>
            <w:shd w:fill="FFFFFF" w:val="clear"/>
            <w:vAlign w:val="center"/>
          </w:tcPr>
          <w:p>
            <w:pPr>
              <w:pStyle w:val="TableContents"/>
              <w:bidi w:val="0"/>
              <w:spacing w:before="0" w:after="283"/>
              <w:jc w:val="right"/>
              <w:rPr/>
            </w:pPr>
            <w:r>
              <w:rPr/>
              <w:t>(1,353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bookmarkStart w:id="968" w:name="xdx_98D_ecustom--ShareBasedCompensationA"/>
            <w:bookmarkEnd w:id="968"/>
          </w:p>
        </w:tc>
        <w:tc>
          <w:tcPr>
            <w:tcW w:w="1688" w:type="dxa"/>
            <w:tcBorders/>
            <w:shd w:fill="FFFFFF" w:val="clear"/>
            <w:vAlign w:val="center"/>
          </w:tcPr>
          <w:p>
            <w:pPr>
              <w:pStyle w:val="TableContents"/>
              <w:bidi w:val="0"/>
              <w:spacing w:before="0" w:after="283"/>
              <w:jc w:val="right"/>
              <w:rPr/>
            </w:pPr>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8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969" w:name="xdx_907_ecustom--RangeOfExercisesPriceEx"/>
            <w:bookmarkEnd w:id="969"/>
            <w:r>
              <w:rPr>
                <w:rFonts w:ascii="Times New Roman;Times;Serif" w:hAnsi="Times New Roman;Times;Serif"/>
                <w:sz w:val="20"/>
              </w:rPr>
              <w:t>6.50 — $</w:t>
            </w:r>
            <w:bookmarkStart w:id="970" w:name="xdx_906_ecustom--RangeOfExercisesPriceEx"/>
            <w:bookmarkEnd w:id="970"/>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84"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71" w:name="xdx_981_eus-gaap--ShareBasedCompensation"/>
            <w:bookmarkEnd w:id="971"/>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72" w:name="xdx_984_ecustom--ShareBasedCompensationA"/>
            <w:bookmarkEnd w:id="972"/>
          </w:p>
        </w:tc>
        <w:tc>
          <w:tcPr>
            <w:tcW w:w="168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4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3784" w:type="dxa"/>
            <w:tcBorders/>
            <w:shd w:fill="CCEEFF" w:val="clear"/>
            <w:vAlign w:val="center"/>
          </w:tcPr>
          <w:p>
            <w:pPr>
              <w:pStyle w:val="TableContents"/>
              <w:bidi w:val="0"/>
              <w:spacing w:before="0" w:after="283"/>
              <w:jc w:val="left"/>
              <w:rPr/>
            </w:pPr>
            <w:r>
              <w:rPr/>
              <w:t>Total outstanding –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73" w:name="xdx_988_eus-gaap--ShareBasedCompensation"/>
            <w:bookmarkEnd w:id="973"/>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74" w:name="xdx_98A_ecustom--ShareBasedCompensationA"/>
            <w:bookmarkEnd w:id="974"/>
          </w:p>
        </w:tc>
        <w:tc>
          <w:tcPr>
            <w:tcW w:w="1688" w:type="dxa"/>
            <w:tcBorders>
              <w:bottom w:val="double" w:sz="6" w:space="0" w:color="000000"/>
            </w:tcBorders>
            <w:shd w:fill="CCEEFF" w:val="clear"/>
            <w:tcMar>
              <w:bottom w:w="28" w:type="dxa"/>
            </w:tcMar>
            <w:vAlign w:val="center"/>
          </w:tcPr>
          <w:p>
            <w:pPr>
              <w:pStyle w:val="TableContents"/>
              <w:bidi w:val="0"/>
              <w:spacing w:before="0" w:after="283"/>
              <w:jc w:val="right"/>
              <w:rPr/>
            </w:pPr>
            <w:r>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975" w:name="xdx_90F_ecustom--RangeOfExercisePriceOut"/>
            <w:bookmarkEnd w:id="975"/>
            <w:r>
              <w:rPr>
                <w:rFonts w:ascii="Times New Roman;Times;Serif" w:hAnsi="Times New Roman;Times;Serif"/>
                <w:sz w:val="20"/>
              </w:rPr>
              <w:t>1,270.25— $</w:t>
            </w:r>
            <w:bookmarkStart w:id="976" w:name="xdx_90C_ecustom--RangeOfExercisePriceOut"/>
            <w:bookmarkEnd w:id="976"/>
            <w:r>
              <w:rPr>
                <w:rFonts w:ascii="Times New Roman;Times;Serif" w:hAnsi="Times New Roman;Times;Serif"/>
                <w:sz w:val="20"/>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77" w:name="xdx_90D_ecustom--ShareBasedCompensationA"/>
            <w:bookmarkEnd w:id="977"/>
            <w:r>
              <w:rPr/>
              <w:t>0.81</w:t>
            </w:r>
          </w:p>
        </w:tc>
        <w:tc>
          <w:tcPr>
            <w:tcW w:w="78" w:type="dxa"/>
            <w:tcBorders/>
            <w:shd w:fill="CCEEFF" w:val="clear"/>
            <w:vAlign w:val="center"/>
          </w:tcPr>
          <w:p>
            <w:pPr>
              <w:pStyle w:val="TableContents"/>
              <w:bidi w:val="0"/>
              <w:spacing w:before="0" w:after="283"/>
              <w:jc w:val="left"/>
              <w:rPr/>
            </w:pPr>
            <w:r>
              <w:rPr/>
              <w:t> </w:t>
            </w:r>
          </w:p>
        </w:tc>
      </w:tr>
      <w:tr>
        <w:trPr/>
        <w:tc>
          <w:tcPr>
            <w:tcW w:w="3784" w:type="dxa"/>
            <w:tcBorders/>
            <w:shd w:fill="FFFFFF" w:val="clear"/>
            <w:vAlign w:val="center"/>
          </w:tcPr>
          <w:p>
            <w:pPr>
              <w:pStyle w:val="TableContents"/>
              <w:bidi w:val="0"/>
              <w:spacing w:before="0" w:after="283"/>
              <w:jc w:val="left"/>
              <w:rPr/>
            </w:pPr>
            <w:r>
              <w:rPr/>
              <w:t>Exercisable</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78" w:name="xdx_988_ecustom--ShareBasedCompensationA"/>
            <w:bookmarkEnd w:id="978"/>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79" w:name="xdx_981_ecustom--ShareBasedCompensationA"/>
            <w:bookmarkEnd w:id="979"/>
          </w:p>
        </w:tc>
        <w:tc>
          <w:tcPr>
            <w:tcW w:w="1688" w:type="dxa"/>
            <w:tcBorders>
              <w:bottom w:val="double" w:sz="6" w:space="0" w:color="000000"/>
            </w:tcBorders>
            <w:shd w:fill="FFFFFF" w:val="clear"/>
            <w:tcMar>
              <w:bottom w:w="28" w:type="dxa"/>
            </w:tcMar>
            <w:vAlign w:val="center"/>
          </w:tcPr>
          <w:p>
            <w:pPr>
              <w:pStyle w:val="TableContents"/>
              <w:bidi w:val="0"/>
              <w:spacing w:before="0" w:after="283"/>
              <w:jc w:val="right"/>
              <w:rPr/>
            </w:pPr>
            <w:r>
              <w:rPr/>
              <w:t>1,270.25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980" w:name="xdx_907_ecustom--RangeOfExercisePriceExe"/>
            <w:bookmarkEnd w:id="980"/>
            <w:r>
              <w:rPr>
                <w:rFonts w:ascii="Times New Roman;Times;Serif" w:hAnsi="Times New Roman;Times;Serif"/>
                <w:sz w:val="20"/>
              </w:rPr>
              <w:t>1,270.25 — $</w:t>
            </w:r>
            <w:bookmarkStart w:id="981" w:name="xdx_90A_ecustom--RangeOfExercisePriceExe"/>
            <w:bookmarkEnd w:id="981"/>
            <w:r>
              <w:rPr>
                <w:rFonts w:ascii="Times New Roman;Times;Serif" w:hAnsi="Times New Roman;Times;Serif"/>
                <w:sz w:val="20"/>
              </w:rPr>
              <w:t>1,270.25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82" w:name="xdx_90B_ecustom--ShareBasedCompensationA"/>
            <w:bookmarkEnd w:id="982"/>
            <w:r>
              <w:rPr/>
              <w:t>0.81</w:t>
            </w:r>
          </w:p>
        </w:tc>
        <w:tc>
          <w:tcPr>
            <w:tcW w:w="78" w:type="dxa"/>
            <w:tcBorders/>
            <w:shd w:fill="FFFFFF" w:val="clear"/>
            <w:vAlign w:val="center"/>
          </w:tcPr>
          <w:p>
            <w:pPr>
              <w:pStyle w:val="TableContents"/>
              <w:bidi w:val="0"/>
              <w:spacing w:before="0" w:after="283"/>
              <w:jc w:val="left"/>
              <w:rPr/>
            </w:pPr>
            <w:r>
              <w:rPr/>
              <w:t> </w:t>
            </w:r>
          </w:p>
        </w:tc>
      </w:tr>
      <w:tr>
        <w:trPr/>
        <w:tc>
          <w:tcPr>
            <w:tcW w:w="3784" w:type="dxa"/>
            <w:tcBorders/>
            <w:shd w:fill="CCEEFF" w:val="clear"/>
            <w:vAlign w:val="center"/>
          </w:tcPr>
          <w:p>
            <w:pPr>
              <w:pStyle w:val="TableContents"/>
              <w:bidi w:val="0"/>
              <w:spacing w:before="0" w:after="283"/>
              <w:jc w:val="left"/>
              <w:rPr/>
            </w:pPr>
            <w:r>
              <w:rPr/>
              <w:t>Non-Exercisable</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83" w:name="xdx_986_ecustom--ShareBasedCompensationA"/>
            <w:bookmarkEnd w:id="983"/>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84" w:name="xdx_980_ecustom--ShareBasedCompensationA"/>
            <w:bookmarkEnd w:id="984"/>
          </w:p>
        </w:tc>
        <w:tc>
          <w:tcPr>
            <w:tcW w:w="168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85" w:name="xdx_90A_ecustom--RangeOfExercisePriceNon"/>
            <w:bookmarkEnd w:id="985"/>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equity classified compensatory warrant activity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1"/>
        <w:gridCol w:w="60"/>
        <w:gridCol w:w="61"/>
        <w:gridCol w:w="649"/>
        <w:gridCol w:w="95"/>
        <w:gridCol w:w="60"/>
        <w:gridCol w:w="273"/>
        <w:gridCol w:w="1684"/>
        <w:gridCol w:w="60"/>
        <w:gridCol w:w="60"/>
        <w:gridCol w:w="60"/>
        <w:gridCol w:w="1943"/>
        <w:gridCol w:w="60"/>
        <w:gridCol w:w="60"/>
        <w:gridCol w:w="146"/>
        <w:gridCol w:w="1085"/>
        <w:gridCol w:w="78"/>
      </w:tblGrid>
      <w:tr>
        <w:trPr/>
        <w:tc>
          <w:tcPr>
            <w:tcW w:w="3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78" w:type="dxa"/>
            <w:tcBorders/>
            <w:vAlign w:val="center"/>
          </w:tcPr>
          <w:p>
            <w:pPr>
              <w:pStyle w:val="TableContents"/>
              <w:bidi w:val="0"/>
              <w:spacing w:before="0" w:after="283"/>
              <w:jc w:val="left"/>
              <w:rPr/>
            </w:pPr>
            <w:r>
              <w:rPr/>
              <w:t> </w:t>
            </w:r>
          </w:p>
        </w:tc>
      </w:tr>
      <w:tr>
        <w:trPr/>
        <w:tc>
          <w:tcPr>
            <w:tcW w:w="3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78" w:type="dxa"/>
            <w:tcBorders/>
            <w:vAlign w:val="center"/>
          </w:tcPr>
          <w:p>
            <w:pPr>
              <w:pStyle w:val="TableContents"/>
              <w:bidi w:val="0"/>
              <w:spacing w:before="0" w:after="283"/>
              <w:jc w:val="left"/>
              <w:rPr/>
            </w:pPr>
            <w:r>
              <w:rPr/>
              <w:t> </w:t>
            </w:r>
          </w:p>
        </w:tc>
      </w:tr>
      <w:tr>
        <w:trPr/>
        <w:tc>
          <w:tcPr>
            <w:tcW w:w="3771" w:type="dxa"/>
            <w:tcBorders/>
            <w:shd w:fill="CCEEFF" w:val="clear"/>
            <w:vAlign w:val="center"/>
          </w:tcPr>
          <w:p>
            <w:pPr>
              <w:pStyle w:val="TableContents"/>
              <w:bidi w:val="0"/>
              <w:spacing w:before="0" w:after="283"/>
              <w:jc w:val="left"/>
              <w:rPr/>
            </w:pPr>
            <w:r>
              <w:rPr/>
              <w:t>Total outstanding – December 31,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86" w:name="xdx_985_eus-gaap--ShareBasedCompensation"/>
            <w:bookmarkEnd w:id="986"/>
          </w:p>
        </w:tc>
        <w:tc>
          <w:tcPr>
            <w:tcW w:w="649" w:type="dxa"/>
            <w:tcBorders/>
            <w:shd w:fill="CCEEFF" w:val="clear"/>
            <w:vAlign w:val="center"/>
          </w:tcPr>
          <w:p>
            <w:pPr>
              <w:pStyle w:val="TableContents"/>
              <w:bidi w:val="0"/>
              <w:spacing w:before="0" w:after="283"/>
              <w:jc w:val="right"/>
              <w:rPr/>
            </w:pPr>
            <w:r>
              <w:rPr/>
              <w:t>2,381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bookmarkStart w:id="987" w:name="xdx_980_ecustom--ShareBasedCompensationA"/>
            <w:bookmarkEnd w:id="987"/>
          </w:p>
        </w:tc>
        <w:tc>
          <w:tcPr>
            <w:tcW w:w="1684" w:type="dxa"/>
            <w:tcBorders/>
            <w:shd w:fill="CCEEFF" w:val="clear"/>
            <w:vAlign w:val="center"/>
          </w:tcPr>
          <w:p>
            <w:pPr>
              <w:pStyle w:val="TableContents"/>
              <w:bidi w:val="0"/>
              <w:spacing w:before="0" w:after="283"/>
              <w:jc w:val="right"/>
              <w:rPr/>
            </w:pPr>
            <w:r>
              <w:rPr/>
              <w:t>534.44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988" w:name="xdx_903_ecustom--RangeOfExercisePriceOut"/>
            <w:bookmarkEnd w:id="988"/>
            <w:r>
              <w:rPr>
                <w:rFonts w:ascii="Times New Roman;Times;Serif" w:hAnsi="Times New Roman;Times;Serif"/>
                <w:sz w:val="20"/>
              </w:rPr>
              <w:t>66.00 — $</w:t>
            </w:r>
            <w:bookmarkStart w:id="989" w:name="xdx_90D_ecustom--RangeOfExercisePriceOut"/>
            <w:bookmarkEnd w:id="989"/>
            <w:r>
              <w:rPr>
                <w:rFonts w:ascii="Times New Roman;Times;Serif" w:hAnsi="Times New Roman;Times;Serif"/>
                <w:sz w:val="20"/>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bookmarkStart w:id="990" w:name="xdx_90D_ecustom--ShareBasedCompensationA"/>
            <w:bookmarkEnd w:id="990"/>
            <w:r>
              <w:rPr/>
              <w:t>1.25</w:t>
            </w:r>
          </w:p>
        </w:tc>
        <w:tc>
          <w:tcPr>
            <w:tcW w:w="78" w:type="dxa"/>
            <w:tcBorders/>
            <w:shd w:fill="CCEEFF" w:val="clear"/>
            <w:vAlign w:val="center"/>
          </w:tcPr>
          <w:p>
            <w:pPr>
              <w:pStyle w:val="TableContents"/>
              <w:bidi w:val="0"/>
              <w:spacing w:before="0" w:after="283"/>
              <w:jc w:val="left"/>
              <w:rPr/>
            </w:pPr>
            <w:r>
              <w:rPr/>
              <w:t> </w:t>
            </w:r>
          </w:p>
        </w:tc>
      </w:tr>
      <w:tr>
        <w:trPr/>
        <w:tc>
          <w:tcPr>
            <w:tcW w:w="3771"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91" w:name="xdx_980_eus-gaap--ShareBasedCompensation"/>
            <w:bookmarkEnd w:id="991"/>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bookmarkStart w:id="992" w:name="xdx_983_ecustom--ShareBasedCompensationA"/>
            <w:bookmarkEnd w:id="992"/>
          </w:p>
        </w:tc>
        <w:tc>
          <w:tcPr>
            <w:tcW w:w="16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3771"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93" w:name="xdx_986_eus-gaap--ShareBasedCompensation"/>
            <w:bookmarkEnd w:id="993"/>
          </w:p>
        </w:tc>
        <w:tc>
          <w:tcPr>
            <w:tcW w:w="649" w:type="dxa"/>
            <w:tcBorders/>
            <w:shd w:fill="CCEEFF" w:val="clear"/>
            <w:vAlign w:val="center"/>
          </w:tcPr>
          <w:p>
            <w:pPr>
              <w:pStyle w:val="TableContents"/>
              <w:bidi w:val="0"/>
              <w:spacing w:before="0" w:after="283"/>
              <w:jc w:val="right"/>
              <w:rPr/>
            </w:pPr>
            <w:r>
              <w:rPr/>
              <w:t>(519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bookmarkStart w:id="994" w:name="xdx_988_ecustom--ShareBasedCompensationA"/>
            <w:bookmarkEnd w:id="994"/>
          </w:p>
        </w:tc>
        <w:tc>
          <w:tcPr>
            <w:tcW w:w="1684" w:type="dxa"/>
            <w:tcBorders/>
            <w:shd w:fill="CCEEFF" w:val="clear"/>
            <w:vAlign w:val="center"/>
          </w:tcPr>
          <w:p>
            <w:pPr>
              <w:pStyle w:val="TableContents"/>
              <w:bidi w:val="0"/>
              <w:spacing w:before="0" w:after="283"/>
              <w:jc w:val="right"/>
              <w:rPr/>
            </w:pPr>
            <w:r>
              <w:rPr/>
              <w:t>1,033.15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995" w:name="xdx_90C_ecustom--RangeOfExercisePriceExp"/>
            <w:bookmarkEnd w:id="995"/>
            <w:r>
              <w:rPr>
                <w:rFonts w:ascii="Times New Roman;Times;Serif" w:hAnsi="Times New Roman;Times;Serif"/>
                <w:sz w:val="20"/>
              </w:rPr>
              <w:t>1,033.15 — $</w:t>
            </w:r>
            <w:bookmarkStart w:id="996" w:name="xdx_90B_ecustom--RangeOfExercisePriceExp"/>
            <w:bookmarkEnd w:id="996"/>
            <w:r>
              <w:rPr>
                <w:rFonts w:ascii="Times New Roman;Times;Serif" w:hAnsi="Times New Roman;Times;Serif"/>
                <w:sz w:val="20"/>
              </w:rPr>
              <w:t>1,033.15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771" w:type="dxa"/>
            <w:tcBorders/>
            <w:shd w:fill="FFFFFF" w:val="clear"/>
            <w:vAlign w:val="center"/>
          </w:tcPr>
          <w:p>
            <w:pPr>
              <w:pStyle w:val="TableContents"/>
              <w:bidi w:val="0"/>
              <w:spacing w:before="0" w:after="283"/>
              <w:jc w:val="left"/>
              <w:rPr/>
            </w:pPr>
            <w:r>
              <w:rPr/>
              <w:t>Reclassified to liabilities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97" w:name="xdx_98F_ecustom--ShareBasedCompensationA"/>
            <w:bookmarkEnd w:id="997"/>
          </w:p>
        </w:tc>
        <w:tc>
          <w:tcPr>
            <w:tcW w:w="649" w:type="dxa"/>
            <w:tcBorders/>
            <w:shd w:fill="FFFFFF" w:val="clear"/>
            <w:vAlign w:val="center"/>
          </w:tcPr>
          <w:p>
            <w:pPr>
              <w:pStyle w:val="TableContents"/>
              <w:bidi w:val="0"/>
              <w:spacing w:before="0" w:after="283"/>
              <w:jc w:val="right"/>
              <w:rPr/>
            </w:pPr>
            <w:r>
              <w:rPr/>
              <w:t>(1,353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w:t>
            </w:r>
            <w:bookmarkStart w:id="998" w:name="xdx_98F_ecustom--ShareBasedCompensationA"/>
            <w:bookmarkEnd w:id="998"/>
          </w:p>
        </w:tc>
        <w:tc>
          <w:tcPr>
            <w:tcW w:w="1684" w:type="dxa"/>
            <w:tcBorders/>
            <w:shd w:fill="FFFFFF" w:val="clear"/>
            <w:vAlign w:val="center"/>
          </w:tcPr>
          <w:p>
            <w:pPr>
              <w:pStyle w:val="TableContents"/>
              <w:bidi w:val="0"/>
              <w:spacing w:before="0" w:after="283"/>
              <w:jc w:val="right"/>
              <w:rPr/>
            </w:pPr>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999" w:name="xdx_909_ecustom--RangeOfExercisesPriceEx"/>
            <w:bookmarkEnd w:id="999"/>
            <w:r>
              <w:rPr>
                <w:rFonts w:ascii="Times New Roman;Times;Serif" w:hAnsi="Times New Roman;Times;Serif"/>
                <w:sz w:val="20"/>
              </w:rPr>
              <w:t>6.50 — $</w:t>
            </w:r>
            <w:bookmarkStart w:id="1000" w:name="xdx_900_ecustom--RangeOfExercisesPriceEx"/>
            <w:bookmarkEnd w:id="1000"/>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71"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01" w:name="xdx_98F_eus-gaap--ShareBasedCompensation"/>
            <w:bookmarkEnd w:id="1001"/>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02" w:name="xdx_984_ecustom--ShareBasedCompensationA"/>
            <w:bookmarkEnd w:id="1002"/>
          </w:p>
        </w:tc>
        <w:tc>
          <w:tcPr>
            <w:tcW w:w="16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771" w:type="dxa"/>
            <w:tcBorders/>
            <w:shd w:fill="FFFFFF" w:val="clear"/>
            <w:vAlign w:val="center"/>
          </w:tcPr>
          <w:p>
            <w:pPr>
              <w:pStyle w:val="TableContents"/>
              <w:bidi w:val="0"/>
              <w:spacing w:before="0" w:after="283"/>
              <w:jc w:val="left"/>
              <w:rPr/>
            </w:pPr>
            <w:r>
              <w:rPr/>
              <w:t>Total outstanding – December 31, 2024</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03" w:name="xdx_980_eus-gaap--ShareBasedCompensation"/>
            <w:bookmarkEnd w:id="1003"/>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pPr>
            <w:r>
              <w:rPr/>
              <w:t>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04" w:name="xdx_98A_ecustom--ShareBasedCompensationA"/>
            <w:bookmarkEnd w:id="1004"/>
          </w:p>
        </w:tc>
        <w:tc>
          <w:tcPr>
            <w:tcW w:w="1684" w:type="dxa"/>
            <w:tcBorders>
              <w:bottom w:val="double" w:sz="6" w:space="0" w:color="000000"/>
            </w:tcBorders>
            <w:shd w:fill="FFFFFF" w:val="clear"/>
            <w:tcMar>
              <w:bottom w:w="28" w:type="dxa"/>
            </w:tcMar>
            <w:vAlign w:val="center"/>
          </w:tcPr>
          <w:p>
            <w:pPr>
              <w:pStyle w:val="TableContents"/>
              <w:bidi w:val="0"/>
              <w:spacing w:before="0" w:after="283"/>
              <w:jc w:val="right"/>
              <w:rPr/>
            </w:pPr>
            <w:r>
              <w:rPr/>
              <w:t>1,270.25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005" w:name="xdx_900_ecustom--RangeOfExercisePriceOut"/>
            <w:bookmarkEnd w:id="1005"/>
            <w:r>
              <w:rPr>
                <w:rFonts w:ascii="Times New Roman;Times;Serif" w:hAnsi="Times New Roman;Times;Serif"/>
                <w:sz w:val="20"/>
              </w:rPr>
              <w:t>1,270.25 — $</w:t>
            </w:r>
            <w:bookmarkStart w:id="1006" w:name="xdx_90F_ecustom--RangeOfExercisePriceOut"/>
            <w:bookmarkEnd w:id="1006"/>
            <w:r>
              <w:rPr>
                <w:rFonts w:ascii="Times New Roman;Times;Serif" w:hAnsi="Times New Roman;Times;Serif"/>
                <w:sz w:val="20"/>
              </w:rPr>
              <w:t>1,270.25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07" w:name="xdx_90B_ecustom--ShareBasedCompensationA"/>
            <w:bookmarkEnd w:id="1007"/>
            <w:r>
              <w:rPr/>
              <w:t>0.69</w:t>
            </w:r>
          </w:p>
        </w:tc>
        <w:tc>
          <w:tcPr>
            <w:tcW w:w="78" w:type="dxa"/>
            <w:tcBorders/>
            <w:shd w:fill="FFFFFF" w:val="clear"/>
            <w:vAlign w:val="center"/>
          </w:tcPr>
          <w:p>
            <w:pPr>
              <w:pStyle w:val="TableContents"/>
              <w:bidi w:val="0"/>
              <w:spacing w:before="0" w:after="283"/>
              <w:jc w:val="left"/>
              <w:rPr/>
            </w:pPr>
            <w:r>
              <w:rPr/>
              <w:t> </w:t>
            </w:r>
          </w:p>
        </w:tc>
      </w:tr>
      <w:tr>
        <w:trPr/>
        <w:tc>
          <w:tcPr>
            <w:tcW w:w="3771" w:type="dxa"/>
            <w:tcBorders/>
            <w:shd w:fill="CCEEFF" w:val="clear"/>
            <w:vAlign w:val="center"/>
          </w:tcPr>
          <w:p>
            <w:pPr>
              <w:pStyle w:val="TableContents"/>
              <w:bidi w:val="0"/>
              <w:spacing w:before="0" w:after="283"/>
              <w:jc w:val="left"/>
              <w:rPr/>
            </w:pPr>
            <w:r>
              <w:rPr/>
              <w:t>Exercisable</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08" w:name="xdx_98E_ecustom--ShareBasedCompensationA"/>
            <w:bookmarkEnd w:id="1008"/>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09" w:name="xdx_98F_ecustom--ShareBasedCompensationA"/>
            <w:bookmarkEnd w:id="1009"/>
          </w:p>
        </w:tc>
        <w:tc>
          <w:tcPr>
            <w:tcW w:w="1684" w:type="dxa"/>
            <w:tcBorders>
              <w:bottom w:val="double" w:sz="6" w:space="0" w:color="000000"/>
            </w:tcBorders>
            <w:shd w:fill="CCEEFF" w:val="clear"/>
            <w:tcMar>
              <w:bottom w:w="28" w:type="dxa"/>
            </w:tcMar>
            <w:vAlign w:val="center"/>
          </w:tcPr>
          <w:p>
            <w:pPr>
              <w:pStyle w:val="TableContents"/>
              <w:bidi w:val="0"/>
              <w:spacing w:before="0" w:after="283"/>
              <w:jc w:val="right"/>
              <w:rPr/>
            </w:pPr>
            <w:r>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010" w:name="xdx_902_ecustom--RangeOfExercisePriceExe"/>
            <w:bookmarkEnd w:id="1010"/>
            <w:r>
              <w:rPr>
                <w:rFonts w:ascii="Times New Roman;Times;Serif" w:hAnsi="Times New Roman;Times;Serif"/>
                <w:sz w:val="20"/>
              </w:rPr>
              <w:t>1,270.25 — $</w:t>
            </w:r>
            <w:bookmarkStart w:id="1011" w:name="xdx_90C_ecustom--RangeOfExercisePriceExe"/>
            <w:bookmarkEnd w:id="1011"/>
            <w:r>
              <w:rPr>
                <w:rFonts w:ascii="Times New Roman;Times;Serif" w:hAnsi="Times New Roman;Times;Serif"/>
                <w:sz w:val="20"/>
              </w:rPr>
              <w:t>1,270.25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12" w:name="xdx_906_ecustom--ShareBasedCompensationA"/>
            <w:bookmarkEnd w:id="1012"/>
            <w:r>
              <w:rPr/>
              <w:t>0.69</w:t>
            </w:r>
          </w:p>
        </w:tc>
        <w:tc>
          <w:tcPr>
            <w:tcW w:w="78" w:type="dxa"/>
            <w:tcBorders/>
            <w:shd w:fill="CCEEFF" w:val="clear"/>
            <w:vAlign w:val="center"/>
          </w:tcPr>
          <w:p>
            <w:pPr>
              <w:pStyle w:val="TableContents"/>
              <w:bidi w:val="0"/>
              <w:spacing w:before="0" w:after="283"/>
              <w:jc w:val="left"/>
              <w:rPr/>
            </w:pPr>
            <w:r>
              <w:rPr/>
              <w:t> </w:t>
            </w:r>
          </w:p>
        </w:tc>
      </w:tr>
      <w:tr>
        <w:trPr/>
        <w:tc>
          <w:tcPr>
            <w:tcW w:w="3771" w:type="dxa"/>
            <w:tcBorders/>
            <w:shd w:fill="FFFFFF" w:val="clear"/>
            <w:vAlign w:val="center"/>
          </w:tcPr>
          <w:p>
            <w:pPr>
              <w:pStyle w:val="TableContents"/>
              <w:bidi w:val="0"/>
              <w:spacing w:before="0" w:after="283"/>
              <w:jc w:val="left"/>
              <w:rPr/>
            </w:pPr>
            <w:r>
              <w:rPr/>
              <w:t>Non-Exercisable</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13" w:name="xdx_984_ecustom--ShareBasedCompensationA"/>
            <w:bookmarkEnd w:id="1013"/>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14" w:name="xdx_983_ecustom--ShareBasedCompensationA"/>
            <w:bookmarkEnd w:id="1014"/>
          </w:p>
        </w:tc>
        <w:tc>
          <w:tcPr>
            <w:tcW w:w="168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4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15" w:name="xdx_904_ecustom--RangeOfExercisePriceNon"/>
            <w:bookmarkEnd w:id="1015"/>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16" w:name="xdx_8A5_zf3SRHnywsi2"/>
      <w:bookmarkEnd w:id="10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noncompensation costs related to outstanding warrants for the year ended December 31, 2025 and approximately $</w:t>
      </w:r>
      <w:bookmarkStart w:id="1017" w:name="xdx_90A_eus-gaap--ShareBasedCompensation"/>
      <w:bookmarkEnd w:id="1017"/>
      <w:r>
        <w:rPr>
          <w:rFonts w:ascii="Times New Roman;Times;Serif" w:hAnsi="Times New Roman;Times;Serif"/>
          <w:b w:val="false"/>
          <w:i w:val="false"/>
          <w:caps w:val="false"/>
          <w:smallCaps w:val="false"/>
          <w:sz w:val="20"/>
        </w:rPr>
        <w:t xml:space="preserve">12,000 for the year ended December 31, 2024. As of December 31, 2025 and 2024, there was </w:t>
      </w:r>
      <w:bookmarkStart w:id="1018" w:name="xdx_90E_eus-gaap--EmployeeServiceShareBa"/>
      <w:bookmarkStart w:id="1019" w:name="xdx_90C_eus-gaap--EmployeeServiceShareBa"/>
      <w:bookmarkEnd w:id="1018"/>
      <w:bookmarkEnd w:id="1019"/>
      <w:r>
        <w:rPr>
          <w:rFonts w:ascii="Times New Roman;Times;Serif" w:hAnsi="Times New Roman;Times;Serif"/>
          <w:b w:val="false"/>
          <w:i w:val="false"/>
          <w:caps w:val="false"/>
          <w:smallCaps w:val="false"/>
          <w:sz w:val="20"/>
        </w:rPr>
        <w:t>no unrecognized compensation cost related to nonvested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Noncompensatory Equity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2022, in conjunction with the issuance of a debenture to Alpha (see Note 10 – Convertible Debt), the Company issued to Alpha a warrant to purchase </w:t>
      </w:r>
      <w:bookmarkStart w:id="1020" w:name="xdx_90A_eus-gaap--ClassOfWarrantOrRightN"/>
      <w:bookmarkEnd w:id="1020"/>
      <w:r>
        <w:rPr>
          <w:rFonts w:ascii="Times New Roman;Times;Serif" w:hAnsi="Times New Roman;Times;Serif"/>
          <w:b w:val="false"/>
          <w:i w:val="false"/>
          <w:caps w:val="false"/>
          <w:smallCaps w:val="false"/>
          <w:sz w:val="20"/>
        </w:rPr>
        <w:t>50,000 shares of the Company’s common stock. The exercise price of this warrant was initially $</w:t>
      </w:r>
      <w:bookmarkStart w:id="1021" w:name="xdx_90E_eus-gaap--ClassOfWarrantOrRightE"/>
      <w:bookmarkEnd w:id="1021"/>
      <w:r>
        <w:rPr>
          <w:rFonts w:ascii="Times New Roman;Times;Serif" w:hAnsi="Times New Roman;Times;Serif"/>
          <w:b w:val="false"/>
          <w:i w:val="false"/>
          <w:caps w:val="false"/>
          <w:smallCaps w:val="false"/>
          <w:sz w:val="20"/>
        </w:rPr>
        <w:t>82.50, and may be exercised in whole or in part, on or after June 22, 2023 and at any time before June 22, 2028. On December 5, 2023, the Company entered into an Amendment No. 1 with regard to the related Securities Purchase Agreement, with Alpha. This Amendment reduced the Exercise Price of the December 22, 2022 warrant from $</w:t>
      </w:r>
      <w:bookmarkStart w:id="1022" w:name="xdx_90E_eus-gaap--ClassOfWarrantOrRightE"/>
      <w:bookmarkEnd w:id="1022"/>
      <w:r>
        <w:rPr>
          <w:rFonts w:ascii="Times New Roman;Times;Serif" w:hAnsi="Times New Roman;Times;Serif"/>
          <w:b w:val="false"/>
          <w:i w:val="false"/>
          <w:caps w:val="false"/>
          <w:smallCaps w:val="false"/>
          <w:sz w:val="20"/>
        </w:rPr>
        <w:t>82.50 per share to $</w:t>
      </w:r>
      <w:bookmarkStart w:id="1023" w:name="xdx_900_eus-gaap--ClassOfWarrantOrRightE"/>
      <w:bookmarkEnd w:id="1023"/>
      <w:r>
        <w:rPr>
          <w:rFonts w:ascii="Times New Roman;Times;Serif" w:hAnsi="Times New Roman;Times;Serif"/>
          <w:b w:val="false"/>
          <w:i w:val="false"/>
          <w:caps w:val="false"/>
          <w:smallCaps w:val="false"/>
          <w:sz w:val="20"/>
        </w:rPr>
        <w:t xml:space="preserve">36.50 per share. The Amendment also revised certain provisions of the warrant which resulted in reclassification of the warrant from liabilities to equity during the year ended December 31, 2023. During the year ended December 31, 2024 this warrant was partially exercised for </w:t>
      </w:r>
      <w:bookmarkStart w:id="1024" w:name="xdx_907_eus-gaap--ShareBasedCompensation"/>
      <w:bookmarkEnd w:id="1024"/>
      <w:r>
        <w:rPr>
          <w:rFonts w:ascii="Times New Roman;Times;Serif" w:hAnsi="Times New Roman;Times;Serif"/>
          <w:b w:val="false"/>
          <w:i w:val="false"/>
          <w:caps w:val="false"/>
          <w:smallCaps w:val="false"/>
          <w:sz w:val="20"/>
        </w:rPr>
        <w:t xml:space="preserve">31,998 shares, and as of December 31, 2025 warrants to purchase </w:t>
      </w:r>
      <w:bookmarkStart w:id="1025" w:name="xdx_907_eus-gaap--ClassOfWarrantOrRightN"/>
      <w:bookmarkEnd w:id="1025"/>
      <w:r>
        <w:rPr>
          <w:rFonts w:ascii="Times New Roman;Times;Serif" w:hAnsi="Times New Roman;Times;Serif"/>
          <w:b w:val="false"/>
          <w:i w:val="false"/>
          <w:caps w:val="false"/>
          <w:smallCaps w:val="false"/>
          <w:sz w:val="20"/>
        </w:rPr>
        <w:t>18,002 shares of the Company’s common stock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new Securities Purchase Agreement with Alpha for the purchase of the February 2024 Debenture (see Note 10 – Convertible Debt). This Securities Purchase Agreement resulted in the reduction of the exercise price of the December 22, 2022 warrant and the May 2020 warrant from $</w:t>
      </w:r>
      <w:bookmarkStart w:id="1026" w:name="xdx_900_eus-gaap--ClassOfWarrantOrRightE"/>
      <w:bookmarkEnd w:id="1026"/>
      <w:r>
        <w:rPr>
          <w:rFonts w:ascii="Times New Roman;Times;Serif" w:hAnsi="Times New Roman;Times;Serif"/>
          <w:b w:val="false"/>
          <w:i w:val="false"/>
          <w:caps w:val="false"/>
          <w:smallCaps w:val="false"/>
          <w:sz w:val="20"/>
        </w:rPr>
        <w:t>36.50 per share to $</w:t>
      </w:r>
      <w:bookmarkStart w:id="1027" w:name="xdx_903_eus-gaap--ClassOfWarrantOrRightE"/>
      <w:bookmarkEnd w:id="1027"/>
      <w:r>
        <w:rPr>
          <w:rFonts w:ascii="Times New Roman;Times;Serif" w:hAnsi="Times New Roman;Times;Serif"/>
          <w:b w:val="false"/>
          <w:i w:val="false"/>
          <w:caps w:val="false"/>
          <w:smallCaps w:val="false"/>
          <w:sz w:val="20"/>
        </w:rPr>
        <w:t>13.00 per share. The company recognized a deemed dividend of $</w:t>
      </w:r>
      <w:bookmarkStart w:id="1028" w:name="xdx_90E_ecustom--DeemedDividendArisingFr"/>
      <w:bookmarkEnd w:id="1028"/>
      <w:r>
        <w:rPr>
          <w:rFonts w:ascii="Times New Roman;Times;Serif" w:hAnsi="Times New Roman;Times;Serif"/>
          <w:b w:val="false"/>
          <w:i w:val="false"/>
          <w:caps w:val="false"/>
          <w:smallCaps w:val="false"/>
          <w:sz w:val="20"/>
        </w:rPr>
        <w:t xml:space="preserve">60,017,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consolidated statements of changes in stockholders’ equity. In addition, on February 27, 2024, the Company issued to Alpha a warrant to purchase </w:t>
      </w:r>
      <w:bookmarkStart w:id="1029" w:name="xdx_902_eus-gaap--ClassOfWarrantOrRightN"/>
      <w:bookmarkEnd w:id="1029"/>
      <w:r>
        <w:rPr>
          <w:rFonts w:ascii="Times New Roman;Times;Serif" w:hAnsi="Times New Roman;Times;Serif"/>
          <w:b w:val="false"/>
          <w:i w:val="false"/>
          <w:caps w:val="false"/>
          <w:smallCaps w:val="false"/>
          <w:sz w:val="20"/>
        </w:rPr>
        <w:t>18,001 shares of the Company’s common stock at an exercise price of $</w:t>
      </w:r>
      <w:bookmarkStart w:id="1030" w:name="xdx_903_eus-gaap--ClassOfWarrantOrRightE"/>
      <w:bookmarkEnd w:id="1030"/>
      <w:r>
        <w:rPr>
          <w:rFonts w:ascii="Times New Roman;Times;Serif" w:hAnsi="Times New Roman;Times;Serif"/>
          <w:b w:val="false"/>
          <w:i w:val="false"/>
          <w:caps w:val="false"/>
          <w:smallCaps w:val="false"/>
          <w:sz w:val="20"/>
        </w:rPr>
        <w:t>13.00 per share, which may be exercised in whole or in part, at any time before February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as a result of the down-round provision triggered by shares sold in a public offering, the above warrants were repriced from $</w:t>
      </w:r>
      <w:bookmarkStart w:id="1031" w:name="xdx_903_eus-gaap--ClassOfWarrantOrRightE"/>
      <w:bookmarkEnd w:id="1031"/>
      <w:r>
        <w:rPr>
          <w:rFonts w:ascii="Times New Roman;Times;Serif" w:hAnsi="Times New Roman;Times;Serif"/>
          <w:b w:val="false"/>
          <w:i w:val="false"/>
          <w:caps w:val="false"/>
          <w:smallCaps w:val="false"/>
          <w:sz w:val="20"/>
        </w:rPr>
        <w:t>13.00 per share exercise price to $</w:t>
      </w:r>
      <w:bookmarkStart w:id="1032" w:name="xdx_905_eus-gaap--ClassOfWarrantOrRightE"/>
      <w:bookmarkEnd w:id="1032"/>
      <w:r>
        <w:rPr>
          <w:rFonts w:ascii="Times New Roman;Times;Serif" w:hAnsi="Times New Roman;Times;Serif"/>
          <w:b w:val="false"/>
          <w:i w:val="false"/>
          <w:caps w:val="false"/>
          <w:smallCaps w:val="false"/>
          <w:sz w:val="20"/>
        </w:rPr>
        <w:t>6.50 per share exercise price. The company recognized an additional deemed dividend of $</w:t>
      </w:r>
      <w:bookmarkStart w:id="1033" w:name="xdx_909_ecustom--DeemedDividendArisingFr"/>
      <w:bookmarkEnd w:id="1033"/>
      <w:r>
        <w:rPr>
          <w:rFonts w:ascii="Times New Roman;Times;Serif" w:hAnsi="Times New Roman;Times;Serif"/>
          <w:b w:val="false"/>
          <w:i w:val="false"/>
          <w:caps w:val="false"/>
          <w:smallCaps w:val="false"/>
          <w:sz w:val="20"/>
        </w:rPr>
        <w:t>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consolidated statements of changes in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in connection with the issuance of a convertible debenture to Chen (see Note 10 – Convertible Debt), the Company issued a liability classified warrant to Chen to purchase </w:t>
      </w:r>
      <w:bookmarkStart w:id="1034" w:name="xdx_906_eus-gaap--ClassOfWarrantOrRightN"/>
      <w:bookmarkEnd w:id="1034"/>
      <w:r>
        <w:rPr>
          <w:rFonts w:ascii="Times New Roman;Times;Serif" w:hAnsi="Times New Roman;Times;Serif"/>
          <w:b w:val="false"/>
          <w:i w:val="false"/>
          <w:caps w:val="false"/>
          <w:smallCaps w:val="false"/>
          <w:sz w:val="20"/>
        </w:rPr>
        <w:t>36,001 shares of common stock, exercisable until February 27, 2029. On September 6, 2024, as a result of a down-round provision triggered by shares sold in a public offering, the warrant was repriced from an exercise price of $</w:t>
      </w:r>
      <w:bookmarkStart w:id="1035" w:name="xdx_903_eus-gaap--ClassOfWarrantOrRightE"/>
      <w:bookmarkEnd w:id="1035"/>
      <w:r>
        <w:rPr>
          <w:rFonts w:ascii="Times New Roman;Times;Serif" w:hAnsi="Times New Roman;Times;Serif"/>
          <w:b w:val="false"/>
          <w:i w:val="false"/>
          <w:caps w:val="false"/>
          <w:smallCaps w:val="false"/>
          <w:sz w:val="20"/>
        </w:rPr>
        <w:t>13.00 per share to an exercise price of $</w:t>
      </w:r>
      <w:bookmarkStart w:id="1036" w:name="xdx_905_eus-gaap--ClassOfWarrantOrRightE"/>
      <w:bookmarkEnd w:id="1036"/>
      <w:r>
        <w:rPr>
          <w:rFonts w:ascii="Times New Roman;Times;Serif" w:hAnsi="Times New Roman;Times;Serif"/>
          <w:b w:val="false"/>
          <w:i w:val="false"/>
          <w:caps w:val="false"/>
          <w:smallCaps w:val="false"/>
          <w:sz w:val="20"/>
        </w:rPr>
        <w:t>6.50 per share. The warrant was initially liability classified due to an insufficient number of authorized shares to settle the warrant prior to the receipt of shareholder approval, which was subsequently obtained on October 25, 2024. As of that date, the Company determined that shareholder approval resulted in equity classification for the warrant and accordingly, the Company remeasured the warrant liability to fair value, and reclassified to noncompensatory equity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as a result of the down-round provision triggered by shares sold in a public offering, the above warrants were repriced from $</w:t>
      </w:r>
      <w:bookmarkStart w:id="1037" w:name="xdx_903_eus-gaap--ClassOfWarrantOrRightE"/>
      <w:bookmarkEnd w:id="1037"/>
      <w:r>
        <w:rPr>
          <w:rFonts w:ascii="Times New Roman;Times;Serif" w:hAnsi="Times New Roman;Times;Serif"/>
          <w:b w:val="false"/>
          <w:i w:val="false"/>
          <w:caps w:val="false"/>
          <w:smallCaps w:val="false"/>
          <w:sz w:val="20"/>
        </w:rPr>
        <w:t>13.00 per share exercise price to $</w:t>
      </w:r>
      <w:bookmarkStart w:id="1038" w:name="xdx_905_eus-gaap--ClassOfWarrantOrRightE"/>
      <w:bookmarkEnd w:id="1038"/>
      <w:r>
        <w:rPr>
          <w:rFonts w:ascii="Times New Roman;Times;Serif" w:hAnsi="Times New Roman;Times;Serif"/>
          <w:b w:val="false"/>
          <w:i w:val="false"/>
          <w:caps w:val="false"/>
          <w:smallCaps w:val="false"/>
          <w:sz w:val="20"/>
        </w:rPr>
        <w:t>6.50 per share exercise price. The company recognized an additional deemed dividend of $</w:t>
      </w:r>
      <w:bookmarkStart w:id="1039" w:name="xdx_909_ecustom--DeemedDividendArisingFr"/>
      <w:bookmarkEnd w:id="1039"/>
      <w:r>
        <w:rPr>
          <w:rFonts w:ascii="Times New Roman;Times;Serif" w:hAnsi="Times New Roman;Times;Serif"/>
          <w:b w:val="false"/>
          <w:i w:val="false"/>
          <w:caps w:val="false"/>
          <w:smallCaps w:val="false"/>
          <w:sz w:val="20"/>
        </w:rPr>
        <w:t>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partial voluntary conversion of the 2024 Alpha Debenture on September 9, 2024, the Company no longer had sufficient shares to settle the 2024 Alpha Warrant in full until shareholder approval was obtained, and a portion (</w:t>
      </w:r>
      <w:bookmarkStart w:id="1040" w:name="xdx_902_eus-gaap--ClassOfWarrantOrRightO"/>
      <w:bookmarkEnd w:id="1040"/>
      <w:r>
        <w:rPr>
          <w:rFonts w:ascii="Times New Roman;Times;Serif" w:hAnsi="Times New Roman;Times;Serif"/>
          <w:b w:val="false"/>
          <w:i w:val="false"/>
          <w:caps w:val="false"/>
          <w:smallCaps w:val="false"/>
          <w:sz w:val="20"/>
        </w:rPr>
        <w:t>2,314 warrant shares with a fair value of $</w:t>
      </w:r>
      <w:bookmarkStart w:id="1041" w:name="xdx_90A_eus-gaap--FairValueAdjustmentOfW"/>
      <w:bookmarkEnd w:id="1041"/>
      <w:r>
        <w:rPr>
          <w:rFonts w:ascii="Times New Roman;Times;Serif" w:hAnsi="Times New Roman;Times;Serif"/>
          <w:b w:val="false"/>
          <w:i w:val="false"/>
          <w:caps w:val="false"/>
          <w:smallCaps w:val="false"/>
          <w:sz w:val="20"/>
        </w:rPr>
        <w:t>14,997) was reclassified to liabilities (see Note 9 – Warrant Liabilities). Shareholder approval was subsequently obtained on October 25, 2024, and as of that date, the Company determined that shareholder approval resulted in equity classification for the warrant again and, accordingly, the Company remeasured the warrant liability to fair value, and reclassified to noncompensatory equity classified warrants.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6, 2024, upon the closing of a public offering, the Company issued pre-funded warrants to purchase </w:t>
      </w:r>
      <w:bookmarkStart w:id="1042" w:name="xdx_90A_eus-gaap--ClassOfWarrantOrRightN"/>
      <w:bookmarkEnd w:id="1042"/>
      <w:r>
        <w:rPr>
          <w:rFonts w:ascii="Times New Roman;Times;Serif" w:hAnsi="Times New Roman;Times;Serif"/>
          <w:b w:val="false"/>
          <w:i w:val="false"/>
          <w:caps w:val="false"/>
          <w:smallCaps w:val="false"/>
          <w:sz w:val="20"/>
        </w:rPr>
        <w:t>239,456 common shares at a price of $</w:t>
      </w:r>
      <w:bookmarkStart w:id="1043" w:name="xdx_904_eus-gaap--SharesIssuedPricePerSh"/>
      <w:bookmarkEnd w:id="1043"/>
      <w:r>
        <w:rPr>
          <w:rFonts w:ascii="Times New Roman;Times;Serif" w:hAnsi="Times New Roman;Times;Serif"/>
          <w:b w:val="false"/>
          <w:i w:val="false"/>
          <w:caps w:val="false"/>
          <w:smallCaps w:val="false"/>
          <w:sz w:val="20"/>
        </w:rPr>
        <w:t>6.45 per share with an exercise price of $</w:t>
      </w:r>
      <w:bookmarkStart w:id="1044" w:name="xdx_904_eus-gaap--ClassOfWarrantOrRightE"/>
      <w:bookmarkEnd w:id="1044"/>
      <w:r>
        <w:rPr>
          <w:rFonts w:ascii="Times New Roman;Times;Serif" w:hAnsi="Times New Roman;Times;Serif"/>
          <w:b w:val="false"/>
          <w:i w:val="false"/>
          <w:caps w:val="false"/>
          <w:smallCaps w:val="false"/>
          <w:sz w:val="20"/>
        </w:rPr>
        <w:t xml:space="preserve">0.05 per share (the “pre-funded warrants”). The pre-funded warrants are exercisable upon issuance and will remain exercisable until all the pre-funded warrants are exercised in full. Pre-funded warrants for </w:t>
      </w:r>
      <w:bookmarkStart w:id="1045" w:name="xdx_900_ecustom--ShareBasedCompensationA"/>
      <w:bookmarkEnd w:id="1045"/>
      <w:r>
        <w:rPr>
          <w:rFonts w:ascii="Times New Roman;Times;Serif" w:hAnsi="Times New Roman;Times;Serif"/>
          <w:b w:val="false"/>
          <w:i w:val="false"/>
          <w:caps w:val="false"/>
          <w:smallCaps w:val="false"/>
          <w:sz w:val="20"/>
        </w:rPr>
        <w:t xml:space="preserve">188,257 common shares were exercised during the year ended December 31, 2024. At December 31, 2025 pre-funded warrants for </w:t>
      </w:r>
      <w:bookmarkStart w:id="1046" w:name="xdx_90E_eus-gaap--ClassOfWarrantOrRightO"/>
      <w:bookmarkEnd w:id="1046"/>
      <w:r>
        <w:rPr>
          <w:rFonts w:ascii="Times New Roman;Times;Serif" w:hAnsi="Times New Roman;Times;Serif"/>
          <w:b w:val="false"/>
          <w:i w:val="false"/>
          <w:caps w:val="false"/>
          <w:smallCaps w:val="false"/>
          <w:sz w:val="20"/>
        </w:rPr>
        <w:t>51,199 common shares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6, 2024, upon the closing of a public offering, </w:t>
      </w:r>
      <w:bookmarkStart w:id="1047" w:name="xdx_904_eus-gaap--ShareBasedCompensation"/>
      <w:bookmarkEnd w:id="1047"/>
      <w:r>
        <w:rPr>
          <w:rFonts w:ascii="Times New Roman;Times;Serif" w:hAnsi="Times New Roman;Times;Serif"/>
          <w:b w:val="false"/>
          <w:i w:val="false"/>
          <w:caps w:val="false"/>
          <w:smallCaps w:val="false"/>
          <w:sz w:val="20"/>
        </w:rPr>
        <w:t>16,019 warrants were issued to the placement agent. These warrants were not exercisable until March 5, 2025 and expire on September 6,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2024, the Company closed its private placement transaction resulting in the issuance of newly designated Series A-2 Preferred Stock. As a result of the issuance of a new class of voting securities, the Company evaluated its equity classified compensatory warrants’ respective terms, and concluded that compensatory warrants to purchase </w:t>
      </w:r>
      <w:bookmarkStart w:id="1048" w:name="xdx_901_eus-gaap--ClassOfWarrantOrRightN"/>
      <w:bookmarkEnd w:id="1048"/>
      <w:r>
        <w:rPr>
          <w:rFonts w:ascii="Times New Roman;Times;Serif" w:hAnsi="Times New Roman;Times;Serif"/>
          <w:b w:val="false"/>
          <w:i w:val="false"/>
          <w:caps w:val="false"/>
          <w:smallCaps w:val="false"/>
          <w:sz w:val="20"/>
        </w:rPr>
        <w:t>1,353 common shares with a weighted average exercise price of $</w:t>
      </w:r>
      <w:bookmarkStart w:id="1049" w:name="xdx_908_ecustom--ShareBasedCompensationA"/>
      <w:bookmarkEnd w:id="1049"/>
      <w:r>
        <w:rPr>
          <w:rFonts w:ascii="Times New Roman;Times;Serif" w:hAnsi="Times New Roman;Times;Serif"/>
          <w:b w:val="false"/>
          <w:i w:val="false"/>
          <w:caps w:val="false"/>
          <w:smallCaps w:val="false"/>
          <w:sz w:val="20"/>
        </w:rPr>
        <w:t>6.50 and a fair value of $</w:t>
      </w:r>
      <w:bookmarkStart w:id="1050" w:name="xdx_900_ecustom--FairValueOfWarrantsRecl"/>
      <w:bookmarkEnd w:id="1050"/>
      <w:r>
        <w:rPr>
          <w:rFonts w:ascii="Times New Roman;Times;Serif" w:hAnsi="Times New Roman;Times;Serif"/>
          <w:b w:val="false"/>
          <w:i w:val="false"/>
          <w:caps w:val="false"/>
          <w:smallCaps w:val="false"/>
          <w:sz w:val="20"/>
        </w:rPr>
        <w:t>904 were required to be reclassified to liabilities as of November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2025 as a result of the down-round provision triggered by the issuance of the 2025 Convertible Note (see Note 10 - Convertible Debt), warrants for </w:t>
      </w:r>
      <w:bookmarkStart w:id="1051" w:name="xdx_90C_eus-gaap--ClassOfWarrantOrRightN"/>
      <w:bookmarkEnd w:id="1051"/>
      <w:r>
        <w:rPr>
          <w:rFonts w:ascii="Times New Roman;Times;Serif" w:hAnsi="Times New Roman;Times;Serif"/>
          <w:b w:val="false"/>
          <w:i w:val="false"/>
          <w:caps w:val="false"/>
          <w:smallCaps w:val="false"/>
          <w:sz w:val="20"/>
        </w:rPr>
        <w:t>54,002 common shares were repriced from $</w:t>
      </w:r>
      <w:bookmarkStart w:id="1052" w:name="xdx_905_eus-gaap--ClassOfWarrantOrRightE"/>
      <w:bookmarkEnd w:id="1052"/>
      <w:r>
        <w:rPr>
          <w:rFonts w:ascii="Times New Roman;Times;Serif" w:hAnsi="Times New Roman;Times;Serif"/>
          <w:b w:val="false"/>
          <w:i w:val="false"/>
          <w:caps w:val="false"/>
          <w:smallCaps w:val="false"/>
          <w:sz w:val="20"/>
        </w:rPr>
        <w:t>6.50 per share exercise price to $</w:t>
      </w:r>
      <w:bookmarkStart w:id="1053" w:name="xdx_907_eus-gaap--ClassOfWarrantOrRightE"/>
      <w:bookmarkEnd w:id="1053"/>
      <w:r>
        <w:rPr>
          <w:rFonts w:ascii="Times New Roman;Times;Serif" w:hAnsi="Times New Roman;Times;Serif"/>
          <w:b w:val="false"/>
          <w:i w:val="false"/>
          <w:caps w:val="false"/>
          <w:smallCaps w:val="false"/>
          <w:sz w:val="20"/>
        </w:rPr>
        <w:t>5.82 per share exercise price. The company recognized a deemed dividend of $</w:t>
      </w:r>
      <w:bookmarkStart w:id="1054" w:name="xdx_90D_ecustom--DeemedDividendArisingFr"/>
      <w:bookmarkEnd w:id="1054"/>
      <w:r>
        <w:rPr>
          <w:rFonts w:ascii="Times New Roman;Times;Serif" w:hAnsi="Times New Roman;Times;Serif"/>
          <w:b w:val="false"/>
          <w:i w:val="false"/>
          <w:caps w:val="false"/>
          <w:smallCaps w:val="false"/>
          <w:sz w:val="20"/>
        </w:rPr>
        <w:t>1,586,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consolidated statements of changes in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above, on September 29, 2025, </w:t>
      </w:r>
      <w:bookmarkStart w:id="1055" w:name="xdx_905_eus-gaap--ClassOfWarrantOrRightN"/>
      <w:bookmarkEnd w:id="1055"/>
      <w:r>
        <w:rPr>
          <w:rFonts w:ascii="Times New Roman;Times;Serif" w:hAnsi="Times New Roman;Times;Serif"/>
          <w:b w:val="false"/>
          <w:i w:val="false"/>
          <w:caps w:val="false"/>
          <w:smallCaps w:val="false"/>
          <w:sz w:val="20"/>
        </w:rPr>
        <w:t>1,087,266 Placement Agent Warrants were issued. The Placement Agent Warrants were immediately exercisable and have an initial exercise price of $</w:t>
      </w:r>
      <w:bookmarkStart w:id="1056" w:name="xdx_90E_eus-gaap--ClassOfWarrantOrRightE"/>
      <w:bookmarkEnd w:id="1056"/>
      <w:r>
        <w:rPr>
          <w:rFonts w:ascii="Times New Roman;Times;Serif" w:hAnsi="Times New Roman;Times;Serif"/>
          <w:b w:val="false"/>
          <w:i w:val="false"/>
          <w:caps w:val="false"/>
          <w:smallCaps w:val="false"/>
          <w:sz w:val="20"/>
        </w:rPr>
        <w:t xml:space="preserve">2.47 per share. At December 31, 2025, </w:t>
      </w:r>
      <w:bookmarkStart w:id="1057" w:name="xdx_903_eus-gaap--ClassOfWarrantOrRightO"/>
      <w:bookmarkEnd w:id="1057"/>
      <w:r>
        <w:rPr>
          <w:rFonts w:ascii="Times New Roman;Times;Serif" w:hAnsi="Times New Roman;Times;Serif"/>
          <w:b w:val="false"/>
          <w:i w:val="false"/>
          <w:caps w:val="false"/>
          <w:smallCaps w:val="false"/>
          <w:sz w:val="20"/>
        </w:rPr>
        <w:t>1,087,266 Placement Agent Warrants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8" w:name="xdx_893_ecustom--SummaryOfWarrantActivit"/>
      <w:bookmarkEnd w:id="1058"/>
      <w:r>
        <w:rPr>
          <w:rFonts w:ascii="Times New Roman;Times;Serif" w:hAnsi="Times New Roman;Times;Serif"/>
          <w:b w:val="false"/>
          <w:i w:val="false"/>
          <w:caps w:val="false"/>
          <w:smallCaps w:val="false"/>
          <w:sz w:val="20"/>
        </w:rPr>
        <w:t>The following table summarizes the noncompensatory equity classified warrant activity for the year ended December 31, 2025:</w:t>
      </w:r>
    </w:p>
    <w:p>
      <w:pPr>
        <w:pStyle w:val="TextBody"/>
        <w:bidi w:val="0"/>
        <w:spacing w:before="0" w:after="0"/>
        <w:ind w:left="0" w:right="0" w:hanging="0"/>
        <w:jc w:val="left"/>
        <w:rPr>
          <w:caps w:val="false"/>
          <w:smallCaps w:val="false"/>
        </w:rPr>
      </w:pPr>
      <w:r>
        <w:rPr>
          <w:caps w:val="false"/>
          <w:smallCaps w:val="false"/>
        </w:rPr>
        <w:t> </w:t>
      </w:r>
      <w:bookmarkStart w:id="1059" w:name="xdx_8B3_zLJUVpY1ce3l"/>
      <w:bookmarkEnd w:id="1059"/>
      <w:r>
        <w:rPr>
          <w:rFonts w:ascii="Times New Roman;Times;Serif" w:hAnsi="Times New Roman;Times;Serif"/>
          <w:b w:val="false"/>
          <w:i w:val="false"/>
          <w:caps w:val="false"/>
          <w:smallCaps w:val="false"/>
          <w:sz w:val="20"/>
        </w:rPr>
        <w:t>SCHEDULE OF NON COMPENSATORY WARRANT ACTIVITY</w:t>
      </w:r>
    </w:p>
    <w:tbl>
      <w:tblPr>
        <w:tblW w:w="9178" w:type="dxa"/>
        <w:jc w:val="left"/>
        <w:tblInd w:w="0" w:type="dxa"/>
        <w:tblLayout w:type="fixed"/>
        <w:tblCellMar>
          <w:top w:w="0" w:type="dxa"/>
          <w:left w:w="0" w:type="dxa"/>
          <w:bottom w:w="0" w:type="dxa"/>
          <w:right w:w="0" w:type="dxa"/>
        </w:tblCellMar>
      </w:tblPr>
      <w:tblGrid>
        <w:gridCol w:w="3800"/>
        <w:gridCol w:w="60"/>
        <w:gridCol w:w="60"/>
        <w:gridCol w:w="980"/>
        <w:gridCol w:w="95"/>
        <w:gridCol w:w="60"/>
        <w:gridCol w:w="269"/>
        <w:gridCol w:w="846"/>
        <w:gridCol w:w="60"/>
        <w:gridCol w:w="60"/>
        <w:gridCol w:w="155"/>
        <w:gridCol w:w="1304"/>
        <w:gridCol w:w="60"/>
        <w:gridCol w:w="60"/>
        <w:gridCol w:w="147"/>
        <w:gridCol w:w="1087"/>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outstanding –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0" w:name="xdx_989_eus-gaap--ShareBasedCompensation"/>
            <w:bookmarkEnd w:id="1060"/>
          </w:p>
        </w:tc>
        <w:tc>
          <w:tcPr>
            <w:tcW w:w="980" w:type="dxa"/>
            <w:tcBorders/>
            <w:shd w:fill="CCEEFF" w:val="clear"/>
            <w:vAlign w:val="center"/>
          </w:tcPr>
          <w:p>
            <w:pPr>
              <w:pStyle w:val="TableContents"/>
              <w:bidi w:val="0"/>
              <w:spacing w:before="0" w:after="283"/>
              <w:jc w:val="right"/>
              <w:rPr/>
            </w:pPr>
            <w:r>
              <w:rPr/>
              <w:t>72,004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bookmarkStart w:id="1061" w:name="xdx_98E_ecustom--ShareBasedCompensationA"/>
            <w:bookmarkEnd w:id="1061"/>
          </w:p>
        </w:tc>
        <w:tc>
          <w:tcPr>
            <w:tcW w:w="846" w:type="dxa"/>
            <w:tcBorders/>
            <w:shd w:fill="CCEEFF" w:val="cle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bookmarkStart w:id="1062" w:name="xdx_903_ecustom--RangeOfExercisePriceOut"/>
            <w:bookmarkEnd w:id="1062"/>
            <w:r>
              <w:rPr>
                <w:rFonts w:ascii="Times New Roman;Times;Serif" w:hAnsi="Times New Roman;Times;Serif"/>
                <w:sz w:val="20"/>
              </w:rPr>
              <w:t>6.50 — $</w:t>
            </w:r>
            <w:bookmarkStart w:id="1063" w:name="xdx_903_ecustom--RangeOfExercisePriceOut"/>
            <w:bookmarkEnd w:id="1063"/>
            <w:r>
              <w:rPr>
                <w:rFonts w:ascii="Times New Roman;Times;Serif" w:hAnsi="Times New Roman;Times;Serif"/>
                <w:sz w:val="20"/>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1064" w:name="xdx_900_ecustom--ShareBasedCompensationA"/>
            <w:bookmarkEnd w:id="1064"/>
            <w:r>
              <w:rPr/>
              <w:t>3.99</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5" w:name="xdx_981_eus-gaap--ShareBasedCompensation"/>
            <w:bookmarkEnd w:id="1065"/>
          </w:p>
        </w:tc>
        <w:tc>
          <w:tcPr>
            <w:tcW w:w="980" w:type="dxa"/>
            <w:tcBorders/>
            <w:shd w:fill="FFFFFF" w:val="clear"/>
            <w:vAlign w:val="center"/>
          </w:tcPr>
          <w:p>
            <w:pPr>
              <w:pStyle w:val="TableContents"/>
              <w:bidi w:val="0"/>
              <w:spacing w:before="0" w:after="283"/>
              <w:jc w:val="right"/>
              <w:rPr/>
            </w:pPr>
            <w:r>
              <w:rPr/>
              <w:t>1,087,266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bookmarkStart w:id="1066" w:name="xdx_984_ecustom--ShareBasedCompensationA"/>
            <w:bookmarkEnd w:id="1066"/>
          </w:p>
        </w:tc>
        <w:tc>
          <w:tcPr>
            <w:tcW w:w="846" w:type="dxa"/>
            <w:tcBorders/>
            <w:shd w:fill="FFFFFF" w:val="clear"/>
            <w:vAlign w:val="center"/>
          </w:tcPr>
          <w:p>
            <w:pPr>
              <w:pStyle w:val="TableContents"/>
              <w:bidi w:val="0"/>
              <w:spacing w:before="0" w:after="283"/>
              <w:jc w:val="right"/>
              <w:rPr/>
            </w:pPr>
            <w:r>
              <w:rPr/>
              <w:t>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bookmarkStart w:id="1067" w:name="xdx_90C_ecustom--RangeOfExercisePriceExe"/>
            <w:bookmarkEnd w:id="1067"/>
            <w:r>
              <w:rPr>
                <w:rFonts w:ascii="Times New Roman;Times;Serif" w:hAnsi="Times New Roman;Times;Serif"/>
                <w:sz w:val="20"/>
              </w:rPr>
              <w:t>2.47 — $</w:t>
            </w:r>
            <w:bookmarkStart w:id="1068" w:name="xdx_908_ecustom--RangeOfExercisePriceExe"/>
            <w:bookmarkEnd w:id="1068"/>
            <w:r>
              <w:rPr>
                <w:rFonts w:ascii="Times New Roman;Times;Serif" w:hAnsi="Times New Roman;Times;Serif"/>
                <w:sz w:val="20"/>
              </w:rPr>
              <w:t>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bookmarkStart w:id="1069" w:name="xdx_908_ecustom--ShareBasedCompensationA"/>
            <w:bookmarkEnd w:id="1069"/>
            <w:r>
              <w:rPr/>
              <w:t>5.00</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Pre-funded investor warrants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0" w:name="xdx_98D_ecustom--ShareBasedCompensationA"/>
            <w:bookmarkEnd w:id="1070"/>
          </w:p>
        </w:tc>
        <w:tc>
          <w:tcPr>
            <w:tcW w:w="980" w:type="dxa"/>
            <w:tcBorders/>
            <w:shd w:fill="CCEEFF" w:val="clear"/>
            <w:vAlign w:val="center"/>
          </w:tcPr>
          <w:p>
            <w:pPr>
              <w:pStyle w:val="TableContents"/>
              <w:bidi w:val="0"/>
              <w:spacing w:before="0" w:after="283"/>
              <w:jc w:val="right"/>
              <w:rPr/>
            </w:pPr>
            <w:r>
              <w:rPr/>
              <w:t>239,456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bookmarkStart w:id="1071" w:name="xdx_987_ecustom--ShareBasedCompensationA"/>
            <w:bookmarkEnd w:id="1071"/>
          </w:p>
        </w:tc>
        <w:tc>
          <w:tcPr>
            <w:tcW w:w="846" w:type="dxa"/>
            <w:tcBorders/>
            <w:shd w:fill="CCEEFF" w:val="clear"/>
            <w:vAlign w:val="center"/>
          </w:tcPr>
          <w:p>
            <w:pPr>
              <w:pStyle w:val="TableContents"/>
              <w:bidi w:val="0"/>
              <w:spacing w:before="0" w:after="283"/>
              <w:jc w:val="right"/>
              <w:rPr/>
            </w:pPr>
            <w:r>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bookmarkStart w:id="1072" w:name="xdx_90F_ecustom--RangeOfExercisePriceExe"/>
            <w:bookmarkEnd w:id="1072"/>
            <w:r>
              <w:rPr>
                <w:rFonts w:ascii="Times New Roman;Times;Serif" w:hAnsi="Times New Roman;Times;Serif"/>
                <w:sz w:val="20"/>
              </w:rPr>
              <w:t>0.05 — $</w:t>
            </w:r>
            <w:bookmarkStart w:id="1073" w:name="xdx_904_ecustom--RangeOfExercisePriceExe"/>
            <w:bookmarkEnd w:id="1073"/>
            <w:r>
              <w:rPr>
                <w:rFonts w:ascii="Times New Roman;Times;Serif" w:hAnsi="Times New Roman;Times;Serif"/>
                <w:sz w:val="20"/>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Pre-funded investor warrants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4" w:name="xdx_987_ecustom--ShareBasedCompensationA"/>
            <w:bookmarkEnd w:id="1074"/>
          </w:p>
        </w:tc>
        <w:tc>
          <w:tcPr>
            <w:tcW w:w="980" w:type="dxa"/>
            <w:tcBorders/>
            <w:shd w:fill="FFFFFF" w:val="clear"/>
            <w:vAlign w:val="center"/>
          </w:tcPr>
          <w:p>
            <w:pPr>
              <w:pStyle w:val="TableContents"/>
              <w:bidi w:val="0"/>
              <w:spacing w:before="0" w:after="283"/>
              <w:jc w:val="right"/>
              <w:rPr/>
            </w:pPr>
            <w:r>
              <w:rPr/>
              <w:t>(188,257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bookmarkStart w:id="1075" w:name="xdx_988_ecustom--ShareBasedCompensationA"/>
            <w:bookmarkEnd w:id="1075"/>
          </w:p>
        </w:tc>
        <w:tc>
          <w:tcPr>
            <w:tcW w:w="846" w:type="dxa"/>
            <w:tcBorders/>
            <w:shd w:fill="FFFFFF" w:val="cle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bookmarkStart w:id="1076" w:name="xdx_900_ecustom--RangeOfExercisePriceExe"/>
            <w:bookmarkEnd w:id="1076"/>
            <w:r>
              <w:rPr>
                <w:rFonts w:ascii="Times New Roman;Times;Serif" w:hAnsi="Times New Roman;Times;Serif"/>
                <w:sz w:val="20"/>
              </w:rPr>
              <w:t>0.05 — $</w:t>
            </w:r>
            <w:bookmarkStart w:id="1077" w:name="xdx_907_ecustom--RangeOfExercisePriceExe"/>
            <w:bookmarkEnd w:id="1077"/>
            <w:r>
              <w:rPr>
                <w:rFonts w:ascii="Times New Roman;Times;Serif" w:hAnsi="Times New Roman;Times;Serif"/>
                <w:sz w:val="20"/>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8" w:name="xdx_98D_eus-gaap--ShareBasedCompensation"/>
            <w:bookmarkEnd w:id="1078"/>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bookmarkStart w:id="1079" w:name="xdx_986_ecustom--ShareBasedCompensationA"/>
            <w:bookmarkEnd w:id="1079"/>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bookmarkStart w:id="1080" w:name="xdx_905_ecustom--RangeOfExercisePriceExe"/>
            <w:bookmarkEnd w:id="108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Reclassified to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1" w:name="xdx_983_ecustom--ShareBasedCompensationA"/>
            <w:bookmarkEnd w:id="1081"/>
          </w:p>
        </w:tc>
        <w:tc>
          <w:tcPr>
            <w:tcW w:w="980" w:type="dxa"/>
            <w:tcBorders/>
            <w:shd w:fill="FFFFFF" w:val="clear"/>
            <w:vAlign w:val="center"/>
          </w:tcPr>
          <w:p>
            <w:pPr>
              <w:pStyle w:val="TableContents"/>
              <w:bidi w:val="0"/>
              <w:spacing w:before="0" w:after="283"/>
              <w:jc w:val="right"/>
              <w:rPr/>
            </w:pPr>
            <w:r>
              <w:rPr/>
              <w:t>(69,672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bookmarkStart w:id="1082" w:name="xdx_98A_ecustom--ShareBasedCompensationA"/>
            <w:bookmarkEnd w:id="1082"/>
          </w:p>
        </w:tc>
        <w:tc>
          <w:tcPr>
            <w:tcW w:w="846" w:type="dxa"/>
            <w:tcBorders/>
            <w:shd w:fill="FFFFFF" w:val="clear"/>
            <w:vAlign w:val="center"/>
          </w:tcPr>
          <w:p>
            <w:pPr>
              <w:pStyle w:val="TableContents"/>
              <w:bidi w:val="0"/>
              <w:spacing w:before="0" w:after="283"/>
              <w:jc w:val="right"/>
              <w:rPr/>
            </w:pPr>
            <w:r>
              <w:rPr/>
              <w:t>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bookmarkStart w:id="1083" w:name="xdx_905_ecustom--RangeOfExercisePriceExe"/>
            <w:bookmarkEnd w:id="1083"/>
            <w:r>
              <w:rPr>
                <w:rFonts w:ascii="Times New Roman;Times;Serif" w:hAnsi="Times New Roman;Times;Serif"/>
                <w:sz w:val="20"/>
              </w:rPr>
              <w:t>0.05 — $</w:t>
            </w:r>
            <w:bookmarkStart w:id="1084" w:name="xdx_901_ecustom--RangeOfExercisePriceExe"/>
            <w:bookmarkEnd w:id="1084"/>
            <w:r>
              <w:rPr>
                <w:rFonts w:ascii="Times New Roman;Times;Serif" w:hAnsi="Times New Roman;Times;Serif"/>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Reclassified from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5" w:name="xdx_98E_ecustom--ShareBasedCompensationA"/>
            <w:bookmarkEnd w:id="1085"/>
          </w:p>
        </w:tc>
        <w:tc>
          <w:tcPr>
            <w:tcW w:w="980" w:type="dxa"/>
            <w:tcBorders/>
            <w:shd w:fill="CCEEFF" w:val="clear"/>
            <w:vAlign w:val="center"/>
          </w:tcPr>
          <w:p>
            <w:pPr>
              <w:pStyle w:val="TableContents"/>
              <w:bidi w:val="0"/>
              <w:spacing w:before="0" w:after="283"/>
              <w:jc w:val="right"/>
              <w:rPr/>
            </w:pPr>
            <w:r>
              <w:rPr/>
              <w:t>38,315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bookmarkStart w:id="1086" w:name="xdx_985_ecustom--ShareBasedCompensationA"/>
            <w:bookmarkEnd w:id="1086"/>
          </w:p>
        </w:tc>
        <w:tc>
          <w:tcPr>
            <w:tcW w:w="846" w:type="dxa"/>
            <w:tcBorders/>
            <w:shd w:fill="CCEEFF" w:val="cle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bookmarkStart w:id="1087" w:name="xdx_908_ecustom--RangeOfExercisePriceExe"/>
            <w:bookmarkEnd w:id="1087"/>
            <w:r>
              <w:rPr>
                <w:rFonts w:ascii="Times New Roman;Times;Serif" w:hAnsi="Times New Roman;Times;Serif"/>
                <w:sz w:val="20"/>
              </w:rPr>
              <w:t>6.50 — $</w:t>
            </w:r>
            <w:bookmarkStart w:id="1088" w:name="xdx_901_ecustom--RangeOfExercisePriceExe"/>
            <w:bookmarkEnd w:id="1088"/>
            <w:r>
              <w:rPr>
                <w:rFonts w:ascii="Times New Roman;Times;Serif" w:hAnsi="Times New Roman;Times;Serif"/>
                <w:sz w:val="20"/>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9" w:name="xdx_982_eus-gaap--ShareBasedCompensation"/>
            <w:bookmarkEnd w:id="1089"/>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bookmarkStart w:id="1090" w:name="xdx_981_ecustom--ShareBasedCompensationA"/>
            <w:bookmarkEnd w:id="1090"/>
          </w:p>
        </w:tc>
        <w:tc>
          <w:tcPr>
            <w:tcW w:w="8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bookmarkStart w:id="1091" w:name="xdx_90B_ecustom--ShareBasedCompensationA"/>
            <w:bookmarkEnd w:id="109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2" w:name="xdx_98D_eus-gaap--ShareBasedCompensation"/>
            <w:bookmarkEnd w:id="109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3" w:name="xdx_989_ecustom--ShareBasedCompensationA"/>
            <w:bookmarkEnd w:id="1093"/>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94" w:name="xdx_90A_ecustom--ShareBasedCompensationA"/>
            <w:bookmarkEnd w:id="109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outstanding –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5" w:name="xdx_98D_eus-gaap--ShareBasedCompensation"/>
            <w:bookmarkEnd w:id="109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1,159,270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96" w:name="xdx_98C_ecustom--ShareBasedCompensationA"/>
            <w:bookmarkEnd w:id="1096"/>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pPr>
            <w:r>
              <w:rPr/>
              <w:t>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1097" w:name="xdx_90B_ecustom--RangeOfExercisePriceOut"/>
            <w:bookmarkEnd w:id="1097"/>
            <w:r>
              <w:rPr>
                <w:rFonts w:ascii="Times New Roman;Times;Serif" w:hAnsi="Times New Roman;Times;Serif"/>
                <w:sz w:val="20"/>
              </w:rPr>
              <w:t>2.47 — $</w:t>
            </w:r>
            <w:bookmarkStart w:id="1098" w:name="xdx_906_ecustom--RangeOfExercisePriceOut"/>
            <w:bookmarkEnd w:id="1098"/>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99" w:name="xdx_90B_ecustom--ShareBasedCompensationA"/>
            <w:bookmarkEnd w:id="1099"/>
            <w:r>
              <w:rPr/>
              <w:t>4.64</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Exercisable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00" w:name="xdx_98D_ecustom--ShareBasedCompensationA"/>
            <w:bookmarkEnd w:id="110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1,159,270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01" w:name="xdx_984_ecustom--ShareBasedCompensationA"/>
            <w:bookmarkEnd w:id="1101"/>
          </w:p>
        </w:tc>
        <w:tc>
          <w:tcPr>
            <w:tcW w:w="846" w:type="dxa"/>
            <w:tcBorders>
              <w:bottom w:val="double" w:sz="6" w:space="0" w:color="000000"/>
            </w:tcBorders>
            <w:shd w:fill="CCEEFF" w:val="clear"/>
            <w:tcMar>
              <w:bottom w:w="28" w:type="dxa"/>
            </w:tcM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1102" w:name="xdx_90D_ecustom--RangeOfExercisePriceExe"/>
            <w:bookmarkEnd w:id="1102"/>
            <w:r>
              <w:rPr>
                <w:rFonts w:ascii="Times New Roman;Times;Serif" w:hAnsi="Times New Roman;Times;Serif"/>
                <w:sz w:val="20"/>
              </w:rPr>
              <w:t>2.47 — $</w:t>
            </w:r>
            <w:bookmarkStart w:id="1103" w:name="xdx_90A_ecustom--RangeOfExercisePriceExe"/>
            <w:bookmarkEnd w:id="1103"/>
            <w:r>
              <w:rPr>
                <w:rFonts w:ascii="Times New Roman;Times;Serif" w:hAnsi="Times New Roman;Times;Serif"/>
                <w:sz w:val="20"/>
              </w:rPr>
              <w:t xml:space="preserve">6.50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04" w:name="xdx_908_ecustom--ShareBasedCompensationA"/>
            <w:bookmarkEnd w:id="1104"/>
            <w:r>
              <w:rPr/>
              <w:t>4.64</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Non-Exercisable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5" w:name="xdx_980_ecustom--ShareBasedCompensationA"/>
            <w:bookmarkEnd w:id="110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6" w:name="xdx_98B_ecustom--ShareBasedCompensationA"/>
            <w:bookmarkEnd w:id="1106"/>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07" w:name="xdx_905_ecustom--RangeOfExercisePriceNon"/>
            <w:bookmarkEnd w:id="1107"/>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noncompensatory equity classified warrant activity for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9094" w:type="dxa"/>
        <w:jc w:val="left"/>
        <w:tblInd w:w="0" w:type="dxa"/>
        <w:tblLayout w:type="fixed"/>
        <w:tblCellMar>
          <w:top w:w="0" w:type="dxa"/>
          <w:left w:w="0" w:type="dxa"/>
          <w:bottom w:w="0" w:type="dxa"/>
          <w:right w:w="0" w:type="dxa"/>
        </w:tblCellMar>
      </w:tblPr>
      <w:tblGrid>
        <w:gridCol w:w="3800"/>
        <w:gridCol w:w="60"/>
        <w:gridCol w:w="60"/>
        <w:gridCol w:w="875"/>
        <w:gridCol w:w="95"/>
        <w:gridCol w:w="60"/>
        <w:gridCol w:w="223"/>
        <w:gridCol w:w="892"/>
        <w:gridCol w:w="60"/>
        <w:gridCol w:w="60"/>
        <w:gridCol w:w="140"/>
        <w:gridCol w:w="1340"/>
        <w:gridCol w:w="60"/>
        <w:gridCol w:w="60"/>
        <w:gridCol w:w="147"/>
        <w:gridCol w:w="1087"/>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outstanding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08" w:name="xdx_983_eus-gaap--ShareBasedCompensation"/>
            <w:bookmarkEnd w:id="1108"/>
          </w:p>
        </w:tc>
        <w:tc>
          <w:tcPr>
            <w:tcW w:w="875" w:type="dxa"/>
            <w:tcBorders/>
            <w:shd w:fill="CCEEFF" w:val="clear"/>
            <w:vAlign w:val="center"/>
          </w:tcPr>
          <w:p>
            <w:pPr>
              <w:pStyle w:val="TableContents"/>
              <w:bidi w:val="0"/>
              <w:spacing w:before="0" w:after="283"/>
              <w:jc w:val="right"/>
              <w:rPr/>
            </w:pPr>
            <w:r>
              <w:rPr/>
              <w:t>50,141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bookmarkStart w:id="1109" w:name="xdx_989_ecustom--ShareBasedCompensationA"/>
            <w:bookmarkEnd w:id="1109"/>
          </w:p>
        </w:tc>
        <w:tc>
          <w:tcPr>
            <w:tcW w:w="892" w:type="dxa"/>
            <w:tcBorders/>
            <w:shd w:fill="CCEEFF" w:val="clear"/>
            <w:vAlign w:val="center"/>
          </w:tcPr>
          <w:p>
            <w:pPr>
              <w:pStyle w:val="TableContents"/>
              <w:bidi w:val="0"/>
              <w:spacing w:before="0" w:after="283"/>
              <w:jc w:val="right"/>
              <w:rPr/>
            </w:pPr>
            <w:r>
              <w:rPr/>
              <w:t>36.50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bookmarkStart w:id="1110" w:name="xdx_902_ecustom--RangeOfExercisePriceOut"/>
            <w:bookmarkEnd w:id="1110"/>
            <w:r>
              <w:rPr>
                <w:rFonts w:ascii="Times New Roman;Times;Serif" w:hAnsi="Times New Roman;Times;Serif"/>
                <w:sz w:val="20"/>
              </w:rPr>
              <w:t>36.50 — $</w:t>
            </w:r>
            <w:bookmarkStart w:id="1111" w:name="xdx_90C_ecustom--RangeOfExercisePriceOut"/>
            <w:bookmarkEnd w:id="1111"/>
            <w:r>
              <w:rPr>
                <w:rFonts w:ascii="Times New Roman;Times;Serif" w:hAnsi="Times New Roman;Times;Serif"/>
                <w:sz w:val="20"/>
              </w:rPr>
              <w:t>36.50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bookmarkStart w:id="1112" w:name="xdx_909_ecustom--ShareBasedCompensationA"/>
            <w:bookmarkEnd w:id="1112"/>
            <w:r>
              <w:rPr/>
              <w:t>4.47</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3" w:name="xdx_988_eus-gaap--ShareBasedCompensation"/>
            <w:bookmarkEnd w:id="1113"/>
          </w:p>
        </w:tc>
        <w:tc>
          <w:tcPr>
            <w:tcW w:w="875" w:type="dxa"/>
            <w:tcBorders/>
            <w:shd w:fill="FFFFFF" w:val="clear"/>
            <w:vAlign w:val="center"/>
          </w:tcPr>
          <w:p>
            <w:pPr>
              <w:pStyle w:val="TableContents"/>
              <w:bidi w:val="0"/>
              <w:spacing w:before="0" w:after="283"/>
              <w:jc w:val="right"/>
              <w:rPr/>
            </w:pPr>
            <w:r>
              <w:rPr/>
              <w:t>34,019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1114" w:name="xdx_98B_ecustom--ShareBasedCompensationA"/>
            <w:bookmarkEnd w:id="1114"/>
          </w:p>
        </w:tc>
        <w:tc>
          <w:tcPr>
            <w:tcW w:w="892" w:type="dxa"/>
            <w:tcBorders/>
            <w:shd w:fill="FFFFFF" w:val="clear"/>
            <w:vAlign w:val="center"/>
          </w:tcPr>
          <w:p>
            <w:pPr>
              <w:pStyle w:val="TableContents"/>
              <w:bidi w:val="0"/>
              <w:spacing w:before="0" w:after="283"/>
              <w:jc w:val="right"/>
              <w:rPr/>
            </w:pPr>
            <w:r>
              <w:rPr/>
              <w:t>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bookmarkStart w:id="1115" w:name="xdx_900_ecustom--RangeOfExercisePriceExe"/>
            <w:bookmarkEnd w:id="1115"/>
            <w:r>
              <w:rPr>
                <w:rFonts w:ascii="Times New Roman;Times;Serif" w:hAnsi="Times New Roman;Times;Serif"/>
                <w:sz w:val="20"/>
              </w:rPr>
              <w:t>6.50 — $</w:t>
            </w:r>
            <w:bookmarkStart w:id="1116" w:name="xdx_907_ecustom--RangeOfExercisePriceExe"/>
            <w:bookmarkEnd w:id="1116"/>
            <w:r>
              <w:rPr>
                <w:rFonts w:ascii="Times New Roman;Times;Serif" w:hAnsi="Times New Roman;Times;Serif"/>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bookmarkStart w:id="1117" w:name="xdx_906_ecustom--ShareBasedCompensationA"/>
            <w:bookmarkEnd w:id="1117"/>
            <w:r>
              <w:rPr/>
              <w:t>4.16</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Pre-funded investor warrants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8" w:name="xdx_982_ecustom--ShareBasedCompensationA"/>
            <w:bookmarkEnd w:id="1118"/>
          </w:p>
        </w:tc>
        <w:tc>
          <w:tcPr>
            <w:tcW w:w="875" w:type="dxa"/>
            <w:tcBorders/>
            <w:shd w:fill="CCEEFF" w:val="clear"/>
            <w:vAlign w:val="center"/>
          </w:tcPr>
          <w:p>
            <w:pPr>
              <w:pStyle w:val="TableContents"/>
              <w:bidi w:val="0"/>
              <w:spacing w:before="0" w:after="283"/>
              <w:jc w:val="right"/>
              <w:rPr/>
            </w:pPr>
            <w:r>
              <w:rPr/>
              <w:t>239,456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bookmarkStart w:id="1119" w:name="xdx_986_ecustom--ShareBasedCompensationA"/>
            <w:bookmarkEnd w:id="1119"/>
          </w:p>
        </w:tc>
        <w:tc>
          <w:tcPr>
            <w:tcW w:w="892" w:type="dxa"/>
            <w:tcBorders/>
            <w:shd w:fill="CCEEFF" w:val="clear"/>
            <w:vAlign w:val="center"/>
          </w:tcPr>
          <w:p>
            <w:pPr>
              <w:pStyle w:val="TableContents"/>
              <w:bidi w:val="0"/>
              <w:spacing w:before="0" w:after="283"/>
              <w:jc w:val="right"/>
              <w:rPr/>
            </w:pPr>
            <w:r>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bookmarkStart w:id="1120" w:name="xdx_90A_ecustom--RangeOfExercisePriceExe"/>
            <w:bookmarkEnd w:id="1120"/>
            <w:r>
              <w:rPr>
                <w:rFonts w:ascii="Times New Roman;Times;Serif" w:hAnsi="Times New Roman;Times;Serif"/>
                <w:sz w:val="20"/>
              </w:rPr>
              <w:t>0.05 — $</w:t>
            </w:r>
            <w:bookmarkStart w:id="1121" w:name="xdx_90B_ecustom--RangeOfExercisePriceExe"/>
            <w:bookmarkEnd w:id="1121"/>
            <w:r>
              <w:rPr>
                <w:rFonts w:ascii="Times New Roman;Times;Serif" w:hAnsi="Times New Roman;Times;Serif"/>
                <w:sz w:val="20"/>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Pre-funded investor warrants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22" w:name="xdx_985_ecustom--ShareBasedCompensationA"/>
            <w:bookmarkEnd w:id="1122"/>
          </w:p>
        </w:tc>
        <w:tc>
          <w:tcPr>
            <w:tcW w:w="875" w:type="dxa"/>
            <w:tcBorders/>
            <w:shd w:fill="FFFFFF" w:val="clear"/>
            <w:vAlign w:val="center"/>
          </w:tcPr>
          <w:p>
            <w:pPr>
              <w:pStyle w:val="TableContents"/>
              <w:bidi w:val="0"/>
              <w:spacing w:before="0" w:after="283"/>
              <w:jc w:val="right"/>
              <w:rPr/>
            </w:pPr>
            <w:r>
              <w:rPr/>
              <w:t>(188,257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1123" w:name="xdx_98C_ecustom--ShareBasedCompensationA"/>
            <w:bookmarkEnd w:id="1123"/>
          </w:p>
        </w:tc>
        <w:tc>
          <w:tcPr>
            <w:tcW w:w="892" w:type="dxa"/>
            <w:tcBorders/>
            <w:shd w:fill="FFFFFF" w:val="cle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bookmarkStart w:id="1124" w:name="xdx_908_ecustom--RangeOfExercisePriceExe"/>
            <w:bookmarkEnd w:id="1124"/>
            <w:r>
              <w:rPr>
                <w:rFonts w:ascii="Times New Roman;Times;Serif" w:hAnsi="Times New Roman;Times;Serif"/>
                <w:sz w:val="20"/>
              </w:rPr>
              <w:t>0.05 — $</w:t>
            </w:r>
            <w:bookmarkStart w:id="1125" w:name="xdx_90A_ecustom--RangeOfExercisePriceExe"/>
            <w:bookmarkEnd w:id="1125"/>
            <w:r>
              <w:rPr>
                <w:rFonts w:ascii="Times New Roman;Times;Serif" w:hAnsi="Times New Roman;Times;Serif"/>
                <w:sz w:val="20"/>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26" w:name="xdx_982_eus-gaap--ShareBasedCompensation"/>
            <w:bookmarkEnd w:id="1126"/>
          </w:p>
        </w:tc>
        <w:tc>
          <w:tcPr>
            <w:tcW w:w="875" w:type="dxa"/>
            <w:tcBorders/>
            <w:shd w:fill="CCEEFF" w:val="clear"/>
            <w:vAlign w:val="center"/>
          </w:tcPr>
          <w:p>
            <w:pPr>
              <w:pStyle w:val="TableContents"/>
              <w:bidi w:val="0"/>
              <w:spacing w:before="0" w:after="283"/>
              <w:jc w:val="right"/>
              <w:rPr/>
            </w:pPr>
            <w:r>
              <w:rPr/>
              <w:t>(31,998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bookmarkStart w:id="1127" w:name="xdx_98C_ecustom--ShareBasedCompensationA"/>
            <w:bookmarkEnd w:id="1127"/>
          </w:p>
        </w:tc>
        <w:tc>
          <w:tcPr>
            <w:tcW w:w="892" w:type="dxa"/>
            <w:tcBorders/>
            <w:shd w:fill="CCEEFF" w:val="clear"/>
            <w:vAlign w:val="center"/>
          </w:tcPr>
          <w:p>
            <w:pPr>
              <w:pStyle w:val="TableContents"/>
              <w:bidi w:val="0"/>
              <w:spacing w:before="0" w:after="283"/>
              <w:jc w:val="right"/>
              <w:rPr/>
            </w:pPr>
            <w:r>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bookmarkStart w:id="1128" w:name="xdx_908_ecustom--RangeOfExercisePriceExe"/>
            <w:bookmarkEnd w:id="1128"/>
            <w:r>
              <w:rPr>
                <w:rFonts w:ascii="Times New Roman;Times;Serif" w:hAnsi="Times New Roman;Times;Serif"/>
                <w:sz w:val="20"/>
              </w:rPr>
              <w:t>13.00 — $</w:t>
            </w:r>
            <w:bookmarkStart w:id="1129" w:name="xdx_90B_ecustom--RangeOfExercisePriceExe"/>
            <w:bookmarkEnd w:id="1129"/>
            <w:r>
              <w:rPr>
                <w:rFonts w:ascii="Times New Roman;Times;Serif" w:hAnsi="Times New Roman;Times;Serif"/>
                <w:sz w:val="20"/>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Reclassified to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30" w:name="xdx_989_ecustom--ShareBasedCompensationA"/>
            <w:bookmarkEnd w:id="1130"/>
          </w:p>
        </w:tc>
        <w:tc>
          <w:tcPr>
            <w:tcW w:w="875" w:type="dxa"/>
            <w:tcBorders/>
            <w:shd w:fill="FFFFFF" w:val="clear"/>
            <w:vAlign w:val="center"/>
          </w:tcPr>
          <w:p>
            <w:pPr>
              <w:pStyle w:val="TableContents"/>
              <w:bidi w:val="0"/>
              <w:spacing w:before="0" w:after="283"/>
              <w:jc w:val="right"/>
              <w:rPr/>
            </w:pPr>
            <w:r>
              <w:rPr/>
              <w:t>(69,672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1131" w:name="xdx_98A_ecustom--ShareBasedCompensationA"/>
            <w:bookmarkEnd w:id="1131"/>
          </w:p>
        </w:tc>
        <w:tc>
          <w:tcPr>
            <w:tcW w:w="892" w:type="dxa"/>
            <w:tcBorders/>
            <w:shd w:fill="FFFFFF" w:val="clear"/>
            <w:vAlign w:val="center"/>
          </w:tcPr>
          <w:p>
            <w:pPr>
              <w:pStyle w:val="TableContents"/>
              <w:bidi w:val="0"/>
              <w:spacing w:before="0" w:after="283"/>
              <w:jc w:val="right"/>
              <w:rPr/>
            </w:pPr>
            <w:r>
              <w:rPr/>
              <w:t>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bookmarkStart w:id="1132" w:name="xdx_904_ecustom--RangeOfExercisePriceExe"/>
            <w:bookmarkEnd w:id="1132"/>
            <w:r>
              <w:rPr>
                <w:rFonts w:ascii="Times New Roman;Times;Serif" w:hAnsi="Times New Roman;Times;Serif"/>
                <w:sz w:val="20"/>
              </w:rPr>
              <w:t>0.05 — $</w:t>
            </w:r>
            <w:bookmarkStart w:id="1133" w:name="xdx_903_ecustom--RangeOfExercisePriceExe"/>
            <w:bookmarkEnd w:id="1133"/>
            <w:r>
              <w:rPr>
                <w:rFonts w:ascii="Times New Roman;Times;Serif" w:hAnsi="Times New Roman;Times;Serif"/>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Reclassified from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34" w:name="xdx_986_ecustom--ShareBasedCompensationA"/>
            <w:bookmarkEnd w:id="1134"/>
          </w:p>
        </w:tc>
        <w:tc>
          <w:tcPr>
            <w:tcW w:w="875" w:type="dxa"/>
            <w:tcBorders/>
            <w:shd w:fill="CCEEFF" w:val="clear"/>
            <w:vAlign w:val="center"/>
          </w:tcPr>
          <w:p>
            <w:pPr>
              <w:pStyle w:val="TableContents"/>
              <w:bidi w:val="0"/>
              <w:spacing w:before="0" w:after="283"/>
              <w:jc w:val="right"/>
              <w:rPr/>
            </w:pPr>
            <w:r>
              <w:rPr/>
              <w:t>38,315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bookmarkStart w:id="1135" w:name="xdx_983_ecustom--ShareBasedCompensationA"/>
            <w:bookmarkEnd w:id="1135"/>
          </w:p>
        </w:tc>
        <w:tc>
          <w:tcPr>
            <w:tcW w:w="892" w:type="dxa"/>
            <w:tcBorders/>
            <w:shd w:fill="CCEEFF" w:val="cle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bookmarkStart w:id="1136" w:name="xdx_902_ecustom--RangeOfExercisePriceExe"/>
            <w:bookmarkEnd w:id="1136"/>
            <w:r>
              <w:rPr>
                <w:rFonts w:ascii="Times New Roman;Times;Serif" w:hAnsi="Times New Roman;Times;Serif"/>
                <w:sz w:val="20"/>
              </w:rPr>
              <w:t>6.50 — $</w:t>
            </w:r>
            <w:bookmarkStart w:id="1137" w:name="xdx_908_ecustom--RangeOfExercisePriceExe"/>
            <w:bookmarkEnd w:id="1137"/>
            <w:r>
              <w:rPr>
                <w:rFonts w:ascii="Times New Roman;Times;Serif" w:hAnsi="Times New Roman;Times;Serif"/>
                <w:sz w:val="20"/>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38" w:name="xdx_989_eus-gaap--ShareBasedCompensation"/>
            <w:bookmarkEnd w:id="1138"/>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1139" w:name="xdx_986_ecustom--ShareBasedCompensationA"/>
            <w:bookmarkEnd w:id="1139"/>
          </w:p>
        </w:tc>
        <w:tc>
          <w:tcPr>
            <w:tcW w:w="8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bookmarkStart w:id="1140" w:name="xdx_90E_ecustom--ShareBasedCompensationA"/>
            <w:bookmarkEnd w:id="114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1" w:name="xdx_987_eus-gaap--ShareBasedCompensation"/>
            <w:bookmarkEnd w:id="1141"/>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2" w:name="xdx_98B_ecustom--ShareBasedCompensationA"/>
            <w:bookmarkEnd w:id="1142"/>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143" w:name="xdx_909_ecustom--ShareBasedCompensationA"/>
            <w:bookmarkEnd w:id="1143"/>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outstanding –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44" w:name="xdx_987_eus-gaap--ShareBasedCompensation"/>
            <w:bookmarkEnd w:id="1144"/>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72,004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145" w:name="xdx_984_ecustom--ShareBasedCompensationA"/>
            <w:bookmarkEnd w:id="1145"/>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pPr>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1146" w:name="xdx_90F_ecustom--RangeOfExercisePriceOut"/>
            <w:bookmarkEnd w:id="1146"/>
            <w:r>
              <w:rPr>
                <w:rFonts w:ascii="Times New Roman;Times;Serif" w:hAnsi="Times New Roman;Times;Serif"/>
                <w:sz w:val="20"/>
              </w:rPr>
              <w:t>6.50 — $</w:t>
            </w:r>
            <w:bookmarkStart w:id="1147" w:name="xdx_90C_ecustom--RangeOfExercisePriceOut"/>
            <w:bookmarkEnd w:id="1147"/>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Exercisable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48" w:name="xdx_981_ecustom--ShareBasedCompensationA"/>
            <w:bookmarkEnd w:id="1148"/>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72,004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49" w:name="xdx_98F_ecustom--ShareBasedCompensationA"/>
            <w:bookmarkEnd w:id="1149"/>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1150" w:name="xdx_902_ecustom--RangeOfExercisePriceExe"/>
            <w:bookmarkEnd w:id="1150"/>
            <w:r>
              <w:rPr>
                <w:rFonts w:ascii="Times New Roman;Times;Serif" w:hAnsi="Times New Roman;Times;Serif"/>
                <w:sz w:val="20"/>
              </w:rPr>
              <w:t>6.50 — $</w:t>
            </w:r>
            <w:bookmarkStart w:id="1151" w:name="xdx_907_ecustom--RangeOfExercisePriceExe"/>
            <w:bookmarkEnd w:id="1151"/>
            <w:r>
              <w:rPr>
                <w:rFonts w:ascii="Times New Roman;Times;Serif" w:hAnsi="Times New Roman;Times;Serif"/>
                <w:sz w:val="20"/>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52" w:name="xdx_909_ecustom--ShareBasedCompensationA"/>
            <w:bookmarkEnd w:id="1152"/>
            <w:r>
              <w:rPr/>
              <w:t>3.99</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Non-Exercisable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53" w:name="xdx_98B_ecustom--ShareBasedCompensationA"/>
            <w:bookmarkEnd w:id="1153"/>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54" w:name="xdx_981_ecustom--ShareBasedCompensationA"/>
            <w:bookmarkEnd w:id="1154"/>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55" w:name="xdx_904_ecustom--RangeOfExercisePriceNon"/>
            <w:bookmarkEnd w:id="1155"/>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56" w:name="xdx_8A1_z57iRH5P8xCa"/>
      <w:bookmarkEnd w:id="115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57" w:name="xdx_80B_eus-gaap--RelatedPartyTransactio"/>
      <w:bookmarkEnd w:id="1157"/>
      <w:r>
        <w:rPr>
          <w:rFonts w:ascii="Times New Roman;Times;Serif" w:hAnsi="Times New Roman;Times;Serif"/>
          <w:b/>
          <w:i w:val="false"/>
          <w:caps w:val="false"/>
          <w:smallCaps w:val="false"/>
          <w:sz w:val="20"/>
        </w:rPr>
        <w:t xml:space="preserve">NOTE 16 — </w:t>
      </w:r>
      <w:bookmarkStart w:id="1158" w:name="xdx_823_zik8C7kQ6oaj"/>
      <w:bookmarkEnd w:id="1158"/>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 Investor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Subscription Agreement, the Company and Faraday Future Intelligent Electric Inc. entered into a Lead Investor Agreement. Pursuant to this agreement, Faraday committed to invest a minimum of $</w:t>
      </w:r>
      <w:bookmarkStart w:id="1159" w:name="xdx_90D_eus-gaap--Investments_iI_pn6n6_c"/>
      <w:bookmarkEnd w:id="1159"/>
      <w:r>
        <w:rPr>
          <w:rFonts w:ascii="Times New Roman;Times;Serif" w:hAnsi="Times New Roman;Times;Serif"/>
          <w:b w:val="false"/>
          <w:i w:val="false"/>
          <w:caps w:val="false"/>
          <w:smallCaps w:val="false"/>
          <w:sz w:val="20"/>
        </w:rPr>
        <w:t>30 million in a Private Placement. The material terms of the Lead Investor Agreement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Reserve &amp; Crypto Custody: The Company will adopt a Treasury Reserve Policy establishing cryptocurrencies as its primary ongoing treasury reserve asset.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Appointments: Concurrent with the closing, Faraday appointed Jiawei Wang as Co-Chief Executive Officer and Koti Meka as Chief Financial Officer. The Faraday-appointed Co-CEO is solely responsible for all non-legacy business operations and has been granted sole access to all crypto-related accounts of the Company, subject to delegation.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Restructuring: The Board size was initially reduced to five members, with Faraday appointing two initial directors to fill vacancies. Following stockholder approval, the Board will expand to seven members, granting Faraday the right to appoint up to two additional directors. Faraday retains the right to proportional board representation so long as it maintains at least 5% beneficial ownership of the Company’s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Transitional Governance Controls: Prior to receiving stockholder approval, the Faraday-appointed Co-CEO will manage all new business affairs and holds the exclusive authority to approve and execute new agreements on behalf of the Company. Legacy business affairs continue to be managed by the current CEO.</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proceeds from the Lead Investor Agreement from Faraday as well as several members of Faraday’s executive management team amounted to $</w:t>
      </w:r>
      <w:bookmarkStart w:id="1160" w:name="xdx_909_ecustom--ProceedsFromInvestor_pn"/>
      <w:bookmarkEnd w:id="1160"/>
      <w:r>
        <w:rPr>
          <w:rFonts w:ascii="Times New Roman;Times;Serif" w:hAnsi="Times New Roman;Times;Serif"/>
          <w:b w:val="false"/>
          <w:i w:val="false"/>
          <w:caps w:val="false"/>
          <w:smallCaps w:val="false"/>
          <w:sz w:val="20"/>
        </w:rPr>
        <w:t>34.2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Lead Investor Agreement, YT Jia, the Co Chief Executive Officer of Faraday, contributed $</w:t>
      </w:r>
      <w:bookmarkStart w:id="1161" w:name="xdx_903_ecustom--ProceedsFromInvestor_c2"/>
      <w:bookmarkEnd w:id="1161"/>
      <w:r>
        <w:rPr>
          <w:rFonts w:ascii="Times New Roman;Times;Serif" w:hAnsi="Times New Roman;Times;Serif"/>
          <w:b w:val="false"/>
          <w:i w:val="false"/>
          <w:caps w:val="false"/>
          <w:smallCaps w:val="false"/>
          <w:sz w:val="20"/>
        </w:rPr>
        <w:t>4,000,000.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Lead Investor Agreement, Jerry Wang, the President of Faraday, contributed $</w:t>
      </w:r>
      <w:bookmarkStart w:id="1162" w:name="xdx_900_ecustom--ProceedsFromInvestor_c2"/>
      <w:bookmarkEnd w:id="1162"/>
      <w:r>
        <w:rPr>
          <w:rFonts w:ascii="Times New Roman;Times;Serif" w:hAnsi="Times New Roman;Times;Serif"/>
          <w:b w:val="false"/>
          <w:i w:val="false"/>
          <w:caps w:val="false"/>
          <w:smallCaps w:val="false"/>
          <w:sz w:val="20"/>
        </w:rPr>
        <w:t>200,000.</w:t>
      </w:r>
    </w:p>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Master Service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the Company entered into a Transition Services Agreement with Faraday to provide support and management services. During the year ended December 31, 2025 approximately $</w:t>
      </w:r>
      <w:bookmarkStart w:id="1163" w:name="xdx_90B_eus-gaap--RelatedPartyTransactio"/>
      <w:bookmarkEnd w:id="1163"/>
      <w:r>
        <w:rPr>
          <w:rFonts w:ascii="Times New Roman;Times;Serif" w:hAnsi="Times New Roman;Times;Serif"/>
          <w:b w:val="false"/>
          <w:i w:val="false"/>
          <w:caps w:val="false"/>
          <w:smallCaps w:val="false"/>
          <w:sz w:val="20"/>
        </w:rPr>
        <w:t>1.0 million was charged to the Company under the Transition Services Agreement, which was outstanding as of year end. This balance was classified under Related Party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entered into verbal agreements with several members of management and consultants, including Faraday Future Global Partners (a company that shares several board members with Faraday), the Chief Executive Officer of Faraday, several board members of Faraday, members of the audit committee of the Company, the Chief Executive Officer of the Company, and the Chief Financial Officer of Faraday, to provide management consulting services. These agreements were finalized in 2026, and were made retroactive to November 1, 2025. The agreements includes services beginning in the year ended December 31, 2025 in the total amount of approximately $</w:t>
      </w:r>
      <w:bookmarkStart w:id="1164" w:name="xdx_906_eus-gaap--ProfessionalFees_c2025"/>
      <w:bookmarkEnd w:id="1164"/>
      <w:r>
        <w:rPr>
          <w:rFonts w:ascii="Times New Roman;Times;Serif" w:hAnsi="Times New Roman;Times;Serif"/>
          <w:b w:val="false"/>
          <w:i w:val="false"/>
          <w:caps w:val="false"/>
          <w:smallCaps w:val="false"/>
          <w:sz w:val="20"/>
        </w:rPr>
        <w:t>639,000. This amount is outstanding as of December 31, 2025 and is classified under Related Party Payable on the consolidated balance sheet.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2022, the Company issued to Alpha, an </w:t>
      </w:r>
      <w:bookmarkStart w:id="1165" w:name="xdx_90D_eus-gaap--ShortTermDebtInterestR"/>
      <w:bookmarkEnd w:id="1165"/>
      <w:r>
        <w:rPr>
          <w:rFonts w:ascii="Times New Roman;Times;Serif" w:hAnsi="Times New Roman;Times;Serif"/>
          <w:b w:val="false"/>
          <w:i w:val="false"/>
          <w:caps w:val="false"/>
          <w:smallCaps w:val="false"/>
          <w:sz w:val="20"/>
        </w:rPr>
        <w:t>8% Senior Convertible Debenture in the aggregate principal amount of $</w:t>
      </w:r>
      <w:bookmarkStart w:id="1166" w:name="xdx_906_eus-gaap--SecuredDebt_iI_c202212"/>
      <w:bookmarkEnd w:id="1166"/>
      <w:r>
        <w:rPr>
          <w:rFonts w:ascii="Times New Roman;Times;Serif" w:hAnsi="Times New Roman;Times;Serif"/>
          <w:b w:val="false"/>
          <w:i w:val="false"/>
          <w:caps w:val="false"/>
          <w:smallCaps w:val="false"/>
          <w:sz w:val="20"/>
        </w:rPr>
        <w:t>3,300,000 for a purchase price of $</w:t>
      </w:r>
      <w:bookmarkStart w:id="1167" w:name="xdx_900_ecustom--PurchasePrice_iI_c20221"/>
      <w:bookmarkEnd w:id="1167"/>
      <w:r>
        <w:rPr>
          <w:rFonts w:ascii="Times New Roman;Times;Serif" w:hAnsi="Times New Roman;Times;Serif"/>
          <w:b w:val="false"/>
          <w:i w:val="false"/>
          <w:caps w:val="false"/>
          <w:smallCaps w:val="false"/>
          <w:sz w:val="20"/>
        </w:rPr>
        <w:t>3,000,000 pursuant to the terms of a Securities Purchase Agreement, dated December 21, 2022. As of December 31, 2023, the remaining principal balance was $</w:t>
      </w:r>
      <w:bookmarkStart w:id="1168" w:name="xdx_901_eus-gaap--SecuredDebt_iI_c202312"/>
      <w:bookmarkEnd w:id="1168"/>
      <w:r>
        <w:rPr>
          <w:rFonts w:ascii="Times New Roman;Times;Serif" w:hAnsi="Times New Roman;Times;Serif"/>
          <w:b w:val="false"/>
          <w:i w:val="false"/>
          <w:caps w:val="false"/>
          <w:smallCaps w:val="false"/>
          <w:sz w:val="20"/>
        </w:rPr>
        <w:t xml:space="preserve">1,418,922. During the year ended December 31, 2024, the remaining principal balance of this Debenture was converted into </w:t>
      </w:r>
      <w:bookmarkStart w:id="1169" w:name="xdx_90E_eus-gaap--DebtConversionConverte"/>
      <w:bookmarkEnd w:id="1169"/>
      <w:r>
        <w:rPr>
          <w:rFonts w:ascii="Times New Roman;Times;Serif" w:hAnsi="Times New Roman;Times;Serif"/>
          <w:b w:val="false"/>
          <w:i w:val="false"/>
          <w:caps w:val="false"/>
          <w:smallCaps w:val="false"/>
          <w:sz w:val="20"/>
        </w:rPr>
        <w:t>103,876 shares of common stock of the Company, at a weighted average price of $</w:t>
      </w:r>
      <w:bookmarkStart w:id="1170" w:name="xdx_90A_eus-gaap--DebtInstrumentConverti"/>
      <w:bookmarkEnd w:id="1170"/>
      <w:r>
        <w:rPr>
          <w:rFonts w:ascii="Times New Roman;Times;Serif" w:hAnsi="Times New Roman;Times;Serif"/>
          <w:b w:val="false"/>
          <w:i w:val="false"/>
          <w:caps w:val="false"/>
          <w:smallCaps w:val="false"/>
          <w:sz w:val="20"/>
        </w:rPr>
        <w:t>13.66 per share.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27, 2024, the Company issued to Alpha, an </w:t>
      </w:r>
      <w:bookmarkStart w:id="1171" w:name="xdx_90D_eus-gaap--ShortTermDebtInterestR"/>
      <w:bookmarkEnd w:id="1171"/>
      <w:r>
        <w:rPr>
          <w:rFonts w:ascii="Times New Roman;Times;Serif" w:hAnsi="Times New Roman;Times;Serif"/>
          <w:b w:val="false"/>
          <w:i w:val="false"/>
          <w:caps w:val="false"/>
          <w:smallCaps w:val="false"/>
          <w:sz w:val="20"/>
        </w:rPr>
        <w:t>8% Convertible Debenture in the principal amount of $</w:t>
      </w:r>
      <w:bookmarkStart w:id="1172" w:name="xdx_901_eus-gaap--SecuredDebt_iI_c202402"/>
      <w:bookmarkEnd w:id="1172"/>
      <w:r>
        <w:rPr>
          <w:rFonts w:ascii="Times New Roman;Times;Serif" w:hAnsi="Times New Roman;Times;Serif"/>
          <w:b w:val="false"/>
          <w:i w:val="false"/>
          <w:caps w:val="false"/>
          <w:smallCaps w:val="false"/>
          <w:sz w:val="20"/>
        </w:rPr>
        <w:t>550,000 for a purchase price of $</w:t>
      </w:r>
      <w:bookmarkStart w:id="1173" w:name="xdx_90B_ecustom--PurchasePrice_iI_c20240"/>
      <w:bookmarkEnd w:id="1173"/>
      <w:r>
        <w:rPr>
          <w:rFonts w:ascii="Times New Roman;Times;Serif" w:hAnsi="Times New Roman;Times;Serif"/>
          <w:b w:val="false"/>
          <w:i w:val="false"/>
          <w:caps w:val="false"/>
          <w:smallCaps w:val="false"/>
          <w:sz w:val="20"/>
        </w:rPr>
        <w:t>500,000 less expenses pursuant to the terms of a Securities Purchase Agreement dated February 26, 2024. During the year ended December 31, 2024, a principal amount of $</w:t>
      </w:r>
      <w:bookmarkStart w:id="1174" w:name="xdx_90B_eus-gaap--SecuredDebt_iI_c202412"/>
      <w:bookmarkEnd w:id="1174"/>
      <w:r>
        <w:rPr>
          <w:rFonts w:ascii="Times New Roman;Times;Serif" w:hAnsi="Times New Roman;Times;Serif"/>
          <w:b w:val="false"/>
          <w:i w:val="false"/>
          <w:caps w:val="false"/>
          <w:smallCaps w:val="false"/>
          <w:sz w:val="20"/>
        </w:rPr>
        <w:t xml:space="preserve">50,979 of this Debenture was converted into </w:t>
      </w:r>
      <w:bookmarkStart w:id="1175" w:name="xdx_908_eus-gaap--DebtConversionConverte"/>
      <w:bookmarkEnd w:id="1175"/>
      <w:r>
        <w:rPr>
          <w:rFonts w:ascii="Times New Roman;Times;Serif" w:hAnsi="Times New Roman;Times;Serif"/>
          <w:b w:val="false"/>
          <w:i w:val="false"/>
          <w:caps w:val="false"/>
          <w:smallCaps w:val="false"/>
          <w:sz w:val="20"/>
        </w:rPr>
        <w:t>7,846 shares of common stock of the Company, at a weighted average price of $</w:t>
      </w:r>
      <w:bookmarkStart w:id="1176" w:name="xdx_90E_eus-gaap--DebtInstrumentConverti"/>
      <w:bookmarkEnd w:id="1176"/>
      <w:r>
        <w:rPr>
          <w:rFonts w:ascii="Times New Roman;Times;Serif" w:hAnsi="Times New Roman;Times;Serif"/>
          <w:b w:val="false"/>
          <w:i w:val="false"/>
          <w:caps w:val="false"/>
          <w:smallCaps w:val="false"/>
          <w:sz w:val="20"/>
        </w:rPr>
        <w:t>6.50 per share. On November 20, 2024 the Company paid to Alpha in cash the remaining principal amount of $</w:t>
      </w:r>
      <w:bookmarkStart w:id="1177" w:name="xdx_902_eus-gaap--SecuredDebt_iI_c202411"/>
      <w:bookmarkEnd w:id="1177"/>
      <w:r>
        <w:rPr>
          <w:rFonts w:ascii="Times New Roman;Times;Serif" w:hAnsi="Times New Roman;Times;Serif"/>
          <w:b w:val="false"/>
          <w:i w:val="false"/>
          <w:caps w:val="false"/>
          <w:smallCaps w:val="false"/>
          <w:sz w:val="20"/>
        </w:rPr>
        <w:t>499,021 plus outstanding accrued interest of $</w:t>
      </w:r>
      <w:bookmarkStart w:id="1178" w:name="xdx_907_eus-gaap--InterestPayableCurrent"/>
      <w:bookmarkEnd w:id="1178"/>
      <w:r>
        <w:rPr>
          <w:rFonts w:ascii="Times New Roman;Times;Serif" w:hAnsi="Times New Roman;Times;Serif"/>
          <w:b w:val="false"/>
          <w:i w:val="false"/>
          <w:caps w:val="false"/>
          <w:smallCaps w:val="false"/>
          <w:sz w:val="20"/>
        </w:rPr>
        <w:t>31,818.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issued to Chen an </w:t>
      </w:r>
      <w:bookmarkStart w:id="1179" w:name="xdx_902_eus-gaap--ShortTermDebtInterestR"/>
      <w:bookmarkEnd w:id="1179"/>
      <w:r>
        <w:rPr>
          <w:rFonts w:ascii="Times New Roman;Times;Serif" w:hAnsi="Times New Roman;Times;Serif"/>
          <w:b w:val="false"/>
          <w:i w:val="false"/>
          <w:caps w:val="false"/>
          <w:smallCaps w:val="false"/>
          <w:sz w:val="20"/>
        </w:rPr>
        <w:t>8% Convertible Debenture with a principal amount of $</w:t>
      </w:r>
      <w:bookmarkStart w:id="1180" w:name="xdx_908_eus-gaap--SecuredDebt_iI_c202404"/>
      <w:bookmarkEnd w:id="1180"/>
      <w:r>
        <w:rPr>
          <w:rFonts w:ascii="Times New Roman;Times;Serif" w:hAnsi="Times New Roman;Times;Serif"/>
          <w:b w:val="false"/>
          <w:i w:val="false"/>
          <w:caps w:val="false"/>
          <w:smallCaps w:val="false"/>
          <w:sz w:val="20"/>
        </w:rPr>
        <w:t>1,100,000 for a purchase price of $</w:t>
      </w:r>
      <w:bookmarkStart w:id="1181" w:name="xdx_900_ecustom--PurchasePrice_iI_c20240"/>
      <w:bookmarkEnd w:id="1181"/>
      <w:r>
        <w:rPr>
          <w:rFonts w:ascii="Times New Roman;Times;Serif" w:hAnsi="Times New Roman;Times;Serif"/>
          <w:b w:val="false"/>
          <w:i w:val="false"/>
          <w:caps w:val="false"/>
          <w:smallCaps w:val="false"/>
          <w:sz w:val="20"/>
        </w:rPr>
        <w:t xml:space="preserve">1,000,000 less expenses pursuant to the terms of a Securities Purchase Agreement dated February 26, 2024. The Company entered into an Exchange Agreement with Yi Hua Chen on November 18, 2024, pursuant to which it issued </w:t>
      </w:r>
      <w:bookmarkStart w:id="1182" w:name="xdx_904_eus-gaap--ConversionOfStockShare"/>
      <w:bookmarkEnd w:id="1182"/>
      <w:r>
        <w:rPr>
          <w:rFonts w:ascii="Times New Roman;Times;Serif" w:hAnsi="Times New Roman;Times;Serif"/>
          <w:b w:val="false"/>
          <w:i w:val="false"/>
          <w:caps w:val="false"/>
          <w:smallCaps w:val="false"/>
          <w:sz w:val="20"/>
        </w:rPr>
        <w:t>1,154 shares of Series A-2 Preferred Stock in full settlement of the outstanding balance of the 2024 Chen Debenture of approximately $</w:t>
      </w:r>
      <w:bookmarkStart w:id="1183" w:name="xdx_903_eus-gaap--DebtConversionOriginal"/>
      <w:bookmarkEnd w:id="1183"/>
      <w:r>
        <w:rPr>
          <w:rFonts w:ascii="Times New Roman;Times;Serif" w:hAnsi="Times New Roman;Times;Serif"/>
          <w:b w:val="false"/>
          <w:i w:val="false"/>
          <w:caps w:val="false"/>
          <w:smallCaps w:val="false"/>
          <w:sz w:val="20"/>
        </w:rPr>
        <w:t>1.15 million (see Note 15 — Stockholders’ Equity).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as a result of equity issuances that occurred during the year ended December 31, 2024, Alpha went from being a material shareholder to a non-material shareholder. Any transactions with Alpha that occurred after these issuances were not considered to be related party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10 – Convertible Debt for additional information concerning convertible debt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2020, as a commitment fee, the Company issued warrants to Alpha for the purchase of common stock. As of December 31, 2024, 141 of these warrants remained outstanding and exercisable, and were able to be exercised in whole or in part, at any time before May 22, 2025. These warrants expired, and as of December 31, 2025, none of these warrants remain outstanding and exercisable. During years ended December 31, 2025 and 2024 there were </w:t>
      </w:r>
      <w:bookmarkStart w:id="1184" w:name="xdx_90C_eus-gaap--ShareBasedCompensation"/>
      <w:bookmarkStart w:id="1185" w:name="xdx_90B_eus-gaap--ShareBasedCompensation"/>
      <w:bookmarkEnd w:id="1184"/>
      <w:bookmarkEnd w:id="1185"/>
      <w:r>
        <w:rPr>
          <w:rFonts w:ascii="Times New Roman;Times;Serif" w:hAnsi="Times New Roman;Times;Serif"/>
          <w:b w:val="false"/>
          <w:i w:val="false"/>
          <w:caps w:val="false"/>
          <w:smallCaps w:val="false"/>
          <w:sz w:val="20"/>
        </w:rPr>
        <w:t>no exercises of this warrant. This warrant was equity classified as of December 31, 2023 and was reclassified to warrant liabilities during the year ended December 31, 2024 (see Note 9 -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2022, in conjunction with the issuance of a debenture to Alpha, the Company issued to Alpha a warrant to purchase </w:t>
      </w:r>
      <w:bookmarkStart w:id="1186" w:name="xdx_90D_eus-gaap--ClassOfWarrantOrRightN"/>
      <w:bookmarkEnd w:id="1186"/>
      <w:r>
        <w:rPr>
          <w:rFonts w:ascii="Times New Roman;Times;Serif" w:hAnsi="Times New Roman;Times;Serif"/>
          <w:b w:val="false"/>
          <w:i w:val="false"/>
          <w:caps w:val="false"/>
          <w:smallCaps w:val="false"/>
          <w:sz w:val="20"/>
        </w:rPr>
        <w:t xml:space="preserve">50,000 shares of the Company’s common stock. This warrant may be exercised by Alpha, in whole or in part, on or after June 22, 2023 and at any time before June 22, 2028, subject to certain terms and conditions described in the warrant. During the year ended December 31, 2024, Alpha partially exercised this warrant to purchase </w:t>
      </w:r>
      <w:bookmarkStart w:id="1187" w:name="xdx_904_eus-gaap--ShareBasedCompensation"/>
      <w:bookmarkEnd w:id="1187"/>
      <w:r>
        <w:rPr>
          <w:rFonts w:ascii="Times New Roman;Times;Serif" w:hAnsi="Times New Roman;Times;Serif"/>
          <w:b w:val="false"/>
          <w:i w:val="false"/>
          <w:caps w:val="false"/>
          <w:smallCaps w:val="false"/>
          <w:sz w:val="20"/>
        </w:rPr>
        <w:t>31,998 shares respectively, of the Company’s common stock at a weighted average exercise price of $</w:t>
      </w:r>
      <w:bookmarkStart w:id="1188" w:name="xdx_905_eus-gaap--DebtInstrumentConverti"/>
      <w:bookmarkEnd w:id="1188"/>
      <w:r>
        <w:rPr>
          <w:rFonts w:ascii="Times New Roman;Times;Serif" w:hAnsi="Times New Roman;Times;Serif"/>
          <w:b w:val="false"/>
          <w:i w:val="false"/>
          <w:caps w:val="false"/>
          <w:smallCaps w:val="false"/>
          <w:sz w:val="20"/>
        </w:rPr>
        <w:t>13.00, for total cumulative proceeds to the Company of $</w:t>
      </w:r>
      <w:bookmarkStart w:id="1189" w:name="xdx_90B_eus-gaap--ProceedsFromIssuanceOf"/>
      <w:bookmarkEnd w:id="1189"/>
      <w:r>
        <w:rPr>
          <w:rFonts w:ascii="Times New Roman;Times;Serif" w:hAnsi="Times New Roman;Times;Serif"/>
          <w:b w:val="false"/>
          <w:i w:val="false"/>
          <w:caps w:val="false"/>
          <w:smallCaps w:val="false"/>
          <w:sz w:val="20"/>
        </w:rPr>
        <w:t xml:space="preserve">416,000. During the year ended December 31, 2025, there were </w:t>
      </w:r>
      <w:bookmarkStart w:id="1190" w:name="xdx_90F_eus-gaap--ShareBasedCompensation"/>
      <w:bookmarkEnd w:id="1190"/>
      <w:r>
        <w:rPr>
          <w:rFonts w:ascii="Times New Roman;Times;Serif" w:hAnsi="Times New Roman;Times;Serif"/>
          <w:b w:val="false"/>
          <w:i w:val="false"/>
          <w:caps w:val="false"/>
          <w:smallCaps w:val="false"/>
          <w:sz w:val="20"/>
        </w:rPr>
        <w:t>no exercises of this warrant. This warrant is included in equity on the Company’s consolidated balance sheets (see Note 15 – Stockholders’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27, 2024, in conjunction with the issuance of a debenture to Alpha, the Company issued to Alpha, a warrant to purchase </w:t>
      </w:r>
      <w:bookmarkStart w:id="1191" w:name="xdx_900_eus-gaap--ClassOfWarrantOrRightN"/>
      <w:bookmarkEnd w:id="1191"/>
      <w:r>
        <w:rPr>
          <w:rFonts w:ascii="Times New Roman;Times;Serif" w:hAnsi="Times New Roman;Times;Serif"/>
          <w:b w:val="false"/>
          <w:i w:val="false"/>
          <w:caps w:val="false"/>
          <w:smallCaps w:val="false"/>
          <w:sz w:val="20"/>
        </w:rPr>
        <w:t>18,001 shares of the Company’s common stock , exercisable in whole or in part, until February 27, 2029, subject to certain terms and conditions described in the warrant. This warrant is presented on the balance sheet as an equity classified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as a result of the down-round provision triggered by shares sold in a public offering, the above warrants were repriced from $</w:t>
      </w:r>
      <w:bookmarkStart w:id="1192" w:name="xdx_904_eus-gaap--ClassOfWarrantOrRightE"/>
      <w:bookmarkEnd w:id="1192"/>
      <w:r>
        <w:rPr>
          <w:rFonts w:ascii="Times New Roman;Times;Serif" w:hAnsi="Times New Roman;Times;Serif"/>
          <w:b w:val="false"/>
          <w:i w:val="false"/>
          <w:caps w:val="false"/>
          <w:smallCaps w:val="false"/>
          <w:sz w:val="20"/>
        </w:rPr>
        <w:t>13.00 per share exercise price to $</w:t>
      </w:r>
      <w:bookmarkStart w:id="1193" w:name="xdx_905_eus-gaap--ClassOfWarrantOrRightE"/>
      <w:bookmarkEnd w:id="1193"/>
      <w:r>
        <w:rPr>
          <w:rFonts w:ascii="Times New Roman;Times;Serif" w:hAnsi="Times New Roman;Times;Serif"/>
          <w:b w:val="false"/>
          <w:i w:val="false"/>
          <w:caps w:val="false"/>
          <w:smallCaps w:val="false"/>
          <w:sz w:val="20"/>
        </w:rPr>
        <w:t>6.50 per share exercise price. The company recognized an additional deemed dividend of $</w:t>
      </w:r>
      <w:bookmarkStart w:id="1194" w:name="xdx_909_ecustom--DeemedDividendArisingFr"/>
      <w:bookmarkEnd w:id="1194"/>
      <w:r>
        <w:rPr>
          <w:rFonts w:ascii="Times New Roman;Times;Serif" w:hAnsi="Times New Roman;Times;Serif"/>
          <w:b w:val="false"/>
          <w:i w:val="false"/>
          <w:caps w:val="false"/>
          <w:smallCaps w:val="false"/>
          <w:sz w:val="20"/>
        </w:rPr>
        <w:t>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consolidated statements of changes in stockholders’ equity.  On April 28, 2025, as a result of the down-round provision triggered by the issuance of the 2025 Convertible Note, the warrant was repriced from an exercise price of $</w:t>
      </w:r>
      <w:bookmarkStart w:id="1195" w:name="xdx_905_eus-gaap--ClassOfWarrantOrRightE"/>
      <w:bookmarkEnd w:id="1195"/>
      <w:r>
        <w:rPr>
          <w:rFonts w:ascii="Times New Roman;Times;Serif" w:hAnsi="Times New Roman;Times;Serif"/>
          <w:b w:val="false"/>
          <w:i w:val="false"/>
          <w:caps w:val="false"/>
          <w:smallCaps w:val="false"/>
          <w:sz w:val="20"/>
        </w:rPr>
        <w:t>6.50 per share to an exercise price of $</w:t>
      </w:r>
      <w:bookmarkStart w:id="1196" w:name="xdx_907_eus-gaap--ClassOfWarrantOrRightE"/>
      <w:bookmarkEnd w:id="1196"/>
      <w:r>
        <w:rPr>
          <w:rFonts w:ascii="Times New Roman;Times;Serif" w:hAnsi="Times New Roman;Times;Serif"/>
          <w:b w:val="false"/>
          <w:i w:val="false"/>
          <w:caps w:val="false"/>
          <w:smallCaps w:val="false"/>
          <w:sz w:val="20"/>
        </w:rPr>
        <w:t>5.82 per share. No further down-round provisions were triggered by the July 28, 2025 private placement transaction or the Subscription Agreement as these warrants were at their contractual 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partial voluntary conversion of the 2024 Alpha Debenture on September 9, 2024, the Company no longer had sufficient shares to settle the 2024 Alpha Warrant in full until shareholder approval was obtained, and a portion (</w:t>
      </w:r>
      <w:bookmarkStart w:id="1197" w:name="xdx_902_eus-gaap--ClassOfWarrantOrRightO"/>
      <w:bookmarkEnd w:id="1197"/>
      <w:r>
        <w:rPr>
          <w:rFonts w:ascii="Times New Roman;Times;Serif" w:hAnsi="Times New Roman;Times;Serif"/>
          <w:b w:val="false"/>
          <w:i w:val="false"/>
          <w:caps w:val="false"/>
          <w:smallCaps w:val="false"/>
          <w:sz w:val="20"/>
        </w:rPr>
        <w:t>2,314 warrant shares with a fair value of $</w:t>
      </w:r>
      <w:bookmarkStart w:id="1198" w:name="xdx_90A_eus-gaap--FairValueAdjustmentOfW"/>
      <w:bookmarkEnd w:id="1198"/>
      <w:r>
        <w:rPr>
          <w:rFonts w:ascii="Times New Roman;Times;Serif" w:hAnsi="Times New Roman;Times;Serif"/>
          <w:b w:val="false"/>
          <w:i w:val="false"/>
          <w:caps w:val="false"/>
          <w:smallCaps w:val="false"/>
          <w:sz w:val="20"/>
        </w:rPr>
        <w:t>14,997) was reclassified to liabilities (see Note 9 – Warrant Liabilities). Shareholder approval was subsequently obtained on October 25, 2024, and as of that date, the Company determined that shareholder approval resulted in equity classification for the warrant again and, accordingly, the Company remeasured the warrant liability to fair value, and reclassified to noncompensatory equity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were no exercises of this warrant. This warrant is included in equity on the Company’s consolidated balance sheets (see Note 15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exercise price of all of the above warrants issued to Alpha was $</w:t>
      </w:r>
      <w:bookmarkStart w:id="1199" w:name="xdx_90C_eus-gaap--ClassOfWarrantOrRightE"/>
      <w:bookmarkEnd w:id="1199"/>
      <w:r>
        <w:rPr>
          <w:rFonts w:ascii="Times New Roman;Times;Serif" w:hAnsi="Times New Roman;Times;Serif"/>
          <w:b w:val="false"/>
          <w:i w:val="false"/>
          <w:caps w:val="false"/>
          <w:smallCaps w:val="false"/>
          <w:sz w:val="20"/>
        </w:rPr>
        <w:t>6.50.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in connection with the issuance of a debenture to Chen (see Note 10 – Convertible Debt), the Company issued a liability classified warrant to Chen to purchase </w:t>
      </w:r>
      <w:bookmarkStart w:id="1200" w:name="xdx_906_eus-gaap--ClassOfWarrantOrRightN"/>
      <w:bookmarkEnd w:id="1200"/>
      <w:r>
        <w:rPr>
          <w:rFonts w:ascii="Times New Roman;Times;Serif" w:hAnsi="Times New Roman;Times;Serif"/>
          <w:b w:val="false"/>
          <w:i w:val="false"/>
          <w:caps w:val="false"/>
          <w:smallCaps w:val="false"/>
          <w:sz w:val="20"/>
        </w:rPr>
        <w:t>36,001 shares of common stock, exercisable until February 27, 2029. On September 6, 2024, as a result of a down-round provision triggered by shares sold in a public offering, the warrant was repriced from an exercise price of $</w:t>
      </w:r>
      <w:bookmarkStart w:id="1201" w:name="xdx_903_eus-gaap--ClassOfWarrantOrRightE"/>
      <w:bookmarkEnd w:id="1201"/>
      <w:r>
        <w:rPr>
          <w:rFonts w:ascii="Times New Roman;Times;Serif" w:hAnsi="Times New Roman;Times;Serif"/>
          <w:b w:val="false"/>
          <w:i w:val="false"/>
          <w:caps w:val="false"/>
          <w:smallCaps w:val="false"/>
          <w:sz w:val="20"/>
        </w:rPr>
        <w:t>13.00 per share to an exercise price of $</w:t>
      </w:r>
      <w:bookmarkStart w:id="1202" w:name="xdx_905_eus-gaap--ClassOfWarrantOrRightE"/>
      <w:bookmarkEnd w:id="1202"/>
      <w:r>
        <w:rPr>
          <w:rFonts w:ascii="Times New Roman;Times;Serif" w:hAnsi="Times New Roman;Times;Serif"/>
          <w:b w:val="false"/>
          <w:i w:val="false"/>
          <w:caps w:val="false"/>
          <w:smallCaps w:val="false"/>
          <w:sz w:val="20"/>
        </w:rPr>
        <w:t>6.50 per share. The warrant was initially liability classified due to an insufficient number of authorized shares to settle the warrant prior to the receipt of shareholder approval, which was subsequently obtained on October 25, 2024. As of that date, the Company determined that shareholder approval resulted in equity classification for the warrant and accordingly, the Company remeasured the warrant liability to fair value, and reclassified to noncompensatory equity classified warrants (see Note 15 – Stockholders’ Equity). The fair value of this warrant was $</w:t>
      </w:r>
      <w:bookmarkStart w:id="1203" w:name="xdx_901_ecustom--FairValueOfWarrantLiabi"/>
      <w:bookmarkEnd w:id="1203"/>
      <w:r>
        <w:rPr>
          <w:rFonts w:ascii="Times New Roman;Times;Serif" w:hAnsi="Times New Roman;Times;Serif"/>
          <w:b w:val="false"/>
          <w:i w:val="false"/>
          <w:caps w:val="false"/>
          <w:smallCaps w:val="false"/>
          <w:sz w:val="20"/>
        </w:rPr>
        <w:t>565,582 on the issuance date and $</w:t>
      </w:r>
      <w:bookmarkStart w:id="1204" w:name="xdx_908_ecustom--FairValueOfWarrantLiabi"/>
      <w:bookmarkEnd w:id="1204"/>
      <w:r>
        <w:rPr>
          <w:rFonts w:ascii="Times New Roman;Times;Serif" w:hAnsi="Times New Roman;Times;Serif"/>
          <w:b w:val="false"/>
          <w:i w:val="false"/>
          <w:caps w:val="false"/>
          <w:smallCaps w:val="false"/>
          <w:sz w:val="20"/>
        </w:rPr>
        <w:t>185,531 on the date of reclassification to equity. During the year ended December 31, 2024, the Company recorded a gain on change in fair value of warrant liabilities of $</w:t>
      </w:r>
      <w:bookmarkStart w:id="1205" w:name="xdx_906_ecustom--GainOnChangeInFairValue"/>
      <w:bookmarkEnd w:id="1205"/>
      <w:r>
        <w:rPr>
          <w:rFonts w:ascii="Times New Roman;Times;Serif" w:hAnsi="Times New Roman;Times;Serif"/>
          <w:b w:val="false"/>
          <w:i w:val="false"/>
          <w:caps w:val="false"/>
          <w:smallCaps w:val="false"/>
          <w:sz w:val="20"/>
        </w:rPr>
        <w:t>380,051 for this warrant. On April 28, 2025, as a result of the down-round provision triggered by the issuance of the 2025 Convertible Note, the warrant was repriced from an exercise price of $</w:t>
      </w:r>
      <w:bookmarkStart w:id="1206" w:name="xdx_905_eus-gaap--ClassOfWarrantOrRightE"/>
      <w:bookmarkEnd w:id="1206"/>
      <w:r>
        <w:rPr>
          <w:rFonts w:ascii="Times New Roman;Times;Serif" w:hAnsi="Times New Roman;Times;Serif"/>
          <w:b w:val="false"/>
          <w:i w:val="false"/>
          <w:caps w:val="false"/>
          <w:smallCaps w:val="false"/>
          <w:sz w:val="20"/>
        </w:rPr>
        <w:t>6.50 per share to an exercise price of $</w:t>
      </w:r>
      <w:bookmarkStart w:id="1207" w:name="xdx_907_eus-gaap--ClassOfWarrantOrRightE"/>
      <w:bookmarkEnd w:id="1207"/>
      <w:r>
        <w:rPr>
          <w:rFonts w:ascii="Times New Roman;Times;Serif" w:hAnsi="Times New Roman;Times;Serif"/>
          <w:b w:val="false"/>
          <w:i w:val="false"/>
          <w:caps w:val="false"/>
          <w:smallCaps w:val="false"/>
          <w:sz w:val="20"/>
        </w:rPr>
        <w:t>5.82 per share.  No further down-round provisions were triggered by the July 28, 2025 private placement transaction or the Subscription Agreement as these warrants were at their contractual floor.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08" w:name="xdx_800_eus-gaap--SegmentReportingDisclo"/>
      <w:bookmarkEnd w:id="1208"/>
      <w:r>
        <w:rPr>
          <w:rFonts w:ascii="Times New Roman;Times;Serif" w:hAnsi="Times New Roman;Times;Serif"/>
          <w:b/>
          <w:i w:val="false"/>
          <w:caps w:val="false"/>
          <w:smallCaps w:val="false"/>
          <w:sz w:val="20"/>
        </w:rPr>
        <w:t xml:space="preserve">NOTE 17 — </w:t>
      </w:r>
      <w:bookmarkStart w:id="1209" w:name="xdx_826_zxpGUZRhqbhd"/>
      <w:bookmarkEnd w:id="1209"/>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and reportable segment. This determination is consistent with the manner in which the Company’s Chief Operating Decision Maker (“CODM”) evaluates performance, allocates resources, and reviews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consists of the Company’s two Co-Chief Executive Officers and its Chief Financial Officer. The CODM reviews consolidated financial information and does not receive discrete financial information for separate business components. Prior to the Offering (see Note 1 – Organization and Summary of Significant Accounting Policies and Estimates), the CODM consisted of the sole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the Company has concluded that it has </w:t>
      </w:r>
      <w:bookmarkStart w:id="1210" w:name="xdx_902_eus-gaap--NumberOfReportableSegm"/>
      <w:bookmarkStart w:id="1211" w:name="xdx_90E_eus-gaap--NumberOfOperatingSegme"/>
      <w:bookmarkEnd w:id="1210"/>
      <w:bookmarkEnd w:id="1211"/>
      <w:r>
        <w:rPr>
          <w:rFonts w:ascii="Times New Roman;Times;Serif" w:hAnsi="Times New Roman;Times;Serif"/>
          <w:b w:val="false"/>
          <w:i w:val="false"/>
          <w:caps w:val="false"/>
          <w:smallCaps w:val="false"/>
          <w:sz w:val="20"/>
        </w:rPr>
        <w:t>one operating and reportable segment because its financial results are reviewed on a consolidated basis and no component meets the definition of a separate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primarily consist of the development and commercialization of AI-enabled technology products and services, including AI-based trading tools, digital-asset tokenization and embedded AI services, and AI-powered cryptocurrency portfolio management solutions. Prior to the Offering, the Company was an early-stage clinical therapeutics company focused on developing treatments for adult and pediatric cancer. The CODM evaluates performance and allocates resources based on consolidated net income (loss). The CODM reviews the Company’s significant segment expenses, which are its consolidated operating expenses, including research and development, general and administrative, and interest and other expenses, broken out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2" w:name="xdx_8BE_zlDikj4xoYhd"/>
      <w:bookmarkStart w:id="1213" w:name="xdx_890_eus-gaap--ScheduleOfSegmentRepor"/>
      <w:bookmarkEnd w:id="1212"/>
      <w:bookmarkEnd w:id="1213"/>
      <w:r>
        <w:rPr>
          <w:rFonts w:ascii="Times New Roman;Times;Serif" w:hAnsi="Times New Roman;Times;Serif"/>
          <w:b w:val="false"/>
          <w:i w:val="false"/>
          <w:caps w:val="false"/>
          <w:smallCaps w:val="false"/>
          <w:sz w:val="20"/>
        </w:rPr>
        <w:t>SCHEDULE OF SEGMENT INFORMATION</w:t>
      </w:r>
    </w:p>
    <w:tbl>
      <w:tblPr>
        <w:tblW w:w="8347" w:type="dxa"/>
        <w:jc w:val="left"/>
        <w:tblInd w:w="0" w:type="dxa"/>
        <w:tblLayout w:type="fixed"/>
        <w:tblCellMar>
          <w:top w:w="0" w:type="dxa"/>
          <w:left w:w="0" w:type="dxa"/>
          <w:bottom w:w="0" w:type="dxa"/>
          <w:right w:w="0" w:type="dxa"/>
        </w:tblCellMar>
      </w:tblPr>
      <w:tblGrid>
        <w:gridCol w:w="4505"/>
        <w:gridCol w:w="60"/>
        <w:gridCol w:w="209"/>
        <w:gridCol w:w="1645"/>
        <w:gridCol w:w="89"/>
        <w:gridCol w:w="89"/>
        <w:gridCol w:w="209"/>
        <w:gridCol w:w="1466"/>
        <w:gridCol w:w="75"/>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4" w:name="xdx_49B_20250101__20251231__us-gaap--Awa"/>
            <w:bookmarkEnd w:id="1214"/>
          </w:p>
        </w:tc>
        <w:tc>
          <w:tcPr>
            <w:tcW w:w="1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1215" w:name="xdx_49D_20240101__20241231__us-gaap--Awa"/>
            <w:bookmarkEnd w:id="1215"/>
          </w:p>
        </w:tc>
        <w:tc>
          <w:tcPr>
            <w:tcW w:w="16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216" w:name="xdx_400_eus-gaap--OperatingCostsAndExpen"/>
            <w:bookmarkEnd w:id="1216"/>
          </w:p>
        </w:tc>
      </w:tr>
      <w:tr>
        <w:trPr/>
        <w:tc>
          <w:tcPr>
            <w:tcW w:w="4505" w:type="dxa"/>
            <w:tcBorders/>
            <w:shd w:fill="CCEEFF" w:val="clear"/>
            <w:vAlign w:val="center"/>
          </w:tcPr>
          <w:p>
            <w:pPr>
              <w:pStyle w:val="TableContents"/>
              <w:bidi w:val="0"/>
              <w:spacing w:before="0" w:after="283"/>
              <w:jc w:val="left"/>
              <w:rPr>
                <w:b/>
              </w:rPr>
            </w:pPr>
            <w:r>
              <w:rPr>
                <w:b/>
              </w:rPr>
              <w:t>EXPENSES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217" w:name="xdx_400_eus-gaap--GeneralAndAdministrati"/>
            <w:bookmarkEnd w:id="1217"/>
          </w:p>
        </w:tc>
      </w:tr>
      <w:tr>
        <w:trPr/>
        <w:tc>
          <w:tcPr>
            <w:tcW w:w="450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645" w:type="dxa"/>
            <w:tcBorders/>
            <w:shd w:fill="FFFFFF" w:val="clear"/>
            <w:vAlign w:val="center"/>
          </w:tcPr>
          <w:p>
            <w:pPr>
              <w:pStyle w:val="TableContents"/>
              <w:bidi w:val="0"/>
              <w:spacing w:before="0" w:after="283"/>
              <w:jc w:val="right"/>
              <w:rPr/>
            </w:pPr>
            <w:r>
              <w:rPr/>
              <w:t>8,822,300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466" w:type="dxa"/>
            <w:tcBorders/>
            <w:shd w:fill="FFFFFF" w:val="clear"/>
            <w:vAlign w:val="center"/>
          </w:tcPr>
          <w:p>
            <w:pPr>
              <w:pStyle w:val="TableContents"/>
              <w:bidi w:val="0"/>
              <w:spacing w:before="0" w:after="283"/>
              <w:jc w:val="right"/>
              <w:rPr/>
            </w:pPr>
            <w:r>
              <w:rPr/>
              <w:t>4,204,558</w:t>
            </w:r>
          </w:p>
        </w:tc>
        <w:tc>
          <w:tcPr>
            <w:tcW w:w="75" w:type="dxa"/>
            <w:tcBorders/>
            <w:shd w:fill="FFFFFF" w:val="clear"/>
            <w:vAlign w:val="center"/>
          </w:tcPr>
          <w:p>
            <w:pPr>
              <w:pStyle w:val="TableContents"/>
              <w:bidi w:val="0"/>
              <w:spacing w:before="0" w:after="283"/>
              <w:jc w:val="left"/>
              <w:rPr/>
            </w:pPr>
            <w:r>
              <w:rPr/>
              <w:t> </w:t>
            </w:r>
            <w:bookmarkStart w:id="1218" w:name="xdx_40A_eus-gaap--ResearchAndDevelopment"/>
            <w:bookmarkEnd w:id="1218"/>
          </w:p>
        </w:tc>
      </w:tr>
      <w:tr>
        <w:trPr/>
        <w:tc>
          <w:tcPr>
            <w:tcW w:w="450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184,796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1,197,162</w:t>
            </w:r>
          </w:p>
        </w:tc>
        <w:tc>
          <w:tcPr>
            <w:tcW w:w="75" w:type="dxa"/>
            <w:tcBorders/>
            <w:shd w:fill="CCEEFF" w:val="clear"/>
            <w:vAlign w:val="center"/>
          </w:tcPr>
          <w:p>
            <w:pPr>
              <w:pStyle w:val="TableContents"/>
              <w:bidi w:val="0"/>
              <w:spacing w:before="0" w:after="283"/>
              <w:jc w:val="left"/>
              <w:rPr/>
            </w:pPr>
            <w:r>
              <w:rPr/>
              <w:t> </w:t>
            </w:r>
            <w:bookmarkStart w:id="1219" w:name="xdx_40B_ecustom--CreditLossExpenseShortt"/>
            <w:bookmarkEnd w:id="1219"/>
          </w:p>
        </w:tc>
      </w:tr>
      <w:tr>
        <w:trPr/>
        <w:tc>
          <w:tcPr>
            <w:tcW w:w="4505" w:type="dxa"/>
            <w:tcBorders/>
            <w:shd w:fill="FFFFFF" w:val="clear"/>
            <w:vAlign w:val="center"/>
          </w:tcPr>
          <w:p>
            <w:pPr>
              <w:pStyle w:val="TableContents"/>
              <w:bidi w:val="0"/>
              <w:spacing w:before="0" w:after="283"/>
              <w:jc w:val="left"/>
              <w:rPr/>
            </w:pPr>
            <w:r>
              <w:rPr/>
              <w:t>Credit loss expense - short-term note receivable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pPr>
            <w:r>
              <w:rPr/>
              <w:t>4,195,000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360,000</w:t>
            </w:r>
          </w:p>
        </w:tc>
        <w:tc>
          <w:tcPr>
            <w:tcW w:w="75" w:type="dxa"/>
            <w:tcBorders/>
            <w:shd w:fill="FFFFFF" w:val="clear"/>
            <w:vAlign w:val="center"/>
          </w:tcPr>
          <w:p>
            <w:pPr>
              <w:pStyle w:val="TableContents"/>
              <w:bidi w:val="0"/>
              <w:spacing w:before="0" w:after="283"/>
              <w:jc w:val="left"/>
              <w:rPr/>
            </w:pPr>
            <w:r>
              <w:rPr/>
              <w:t> </w:t>
            </w:r>
            <w:bookmarkStart w:id="1220" w:name="xdx_40A_eus-gaap--OperatingExpenses_i01T"/>
            <w:bookmarkEnd w:id="1220"/>
          </w:p>
        </w:tc>
      </w:tr>
      <w:tr>
        <w:trPr/>
        <w:tc>
          <w:tcPr>
            <w:tcW w:w="4505"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13,202,096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5,761,720</w:t>
            </w:r>
          </w:p>
        </w:tc>
        <w:tc>
          <w:tcPr>
            <w:tcW w:w="75" w:type="dxa"/>
            <w:tcBorders/>
            <w:shd w:fill="CCEEFF" w:val="clear"/>
            <w:vAlign w:val="center"/>
          </w:tcPr>
          <w:p>
            <w:pPr>
              <w:pStyle w:val="TableContents"/>
              <w:bidi w:val="0"/>
              <w:spacing w:before="0" w:after="283"/>
              <w:jc w:val="left"/>
              <w:rPr/>
            </w:pPr>
            <w:r>
              <w:rPr/>
              <w:t> </w:t>
            </w:r>
            <w:bookmarkStart w:id="1221" w:name="xdx_40E_eus-gaap--NonoperatingIncomeExpe"/>
            <w:bookmarkEnd w:id="1221"/>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expense, net</w:t>
            </w:r>
            <w:bookmarkStart w:id="1222" w:name="xdx_F49_zpmEd5Gt9nfa"/>
            <w:bookmarkEnd w:id="1222"/>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pPr>
            <w:r>
              <w:rPr/>
              <w:t>3,763,779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497,471</w:t>
            </w:r>
          </w:p>
        </w:tc>
        <w:tc>
          <w:tcPr>
            <w:tcW w:w="75" w:type="dxa"/>
            <w:tcBorders/>
            <w:shd w:fill="FFFFFF" w:val="clear"/>
            <w:vAlign w:val="center"/>
          </w:tcPr>
          <w:p>
            <w:pPr>
              <w:pStyle w:val="TableContents"/>
              <w:bidi w:val="0"/>
              <w:spacing w:before="0" w:after="283"/>
              <w:jc w:val="left"/>
              <w:rPr/>
            </w:pPr>
            <w:r>
              <w:rPr/>
              <w:t> </w:t>
            </w:r>
            <w:bookmarkStart w:id="1223" w:name="xdx_40C_eus-gaap--NetIncomeLoss_iN_di_zn"/>
            <w:bookmarkEnd w:id="1223"/>
          </w:p>
        </w:tc>
      </w:tr>
      <w:tr>
        <w:trPr/>
        <w:tc>
          <w:tcPr>
            <w:tcW w:w="4505" w:type="dxa"/>
            <w:tcBorders/>
            <w:shd w:fill="CCEEFF" w:val="clear"/>
            <w:vAlign w:val="center"/>
          </w:tcPr>
          <w:p>
            <w:pPr>
              <w:pStyle w:val="TableContents"/>
              <w:bidi w:val="0"/>
              <w:spacing w:before="0" w:after="283"/>
              <w:jc w:val="left"/>
              <w:rPr/>
            </w:pPr>
            <w:r>
              <w:rPr/>
              <w:t> </w:t>
            </w:r>
            <w:r>
              <w:rPr/>
              <w:t>Net loss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5" w:type="dxa"/>
            <w:tcBorders>
              <w:bottom w:val="double" w:sz="6" w:space="0" w:color="000000"/>
            </w:tcBorders>
            <w:shd w:fill="CCEEFF" w:val="clear"/>
            <w:tcMar>
              <w:bottom w:w="28" w:type="dxa"/>
            </w:tcMar>
            <w:vAlign w:val="center"/>
          </w:tcPr>
          <w:p>
            <w:pPr>
              <w:pStyle w:val="TableContents"/>
              <w:bidi w:val="0"/>
              <w:spacing w:before="0" w:after="283"/>
              <w:jc w:val="right"/>
              <w:rPr/>
            </w:pPr>
            <w:r>
              <w:rPr/>
              <w:t>16,965,875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pPr>
            <w:r>
              <w:rPr/>
              <w:t>6,259,191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260"/>
        <w:gridCol w:w="23"/>
        <w:gridCol w:w="902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224" w:name="xdx_F00_zMtGImG28sU1"/>
            <w:bookmarkEnd w:id="1224"/>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020" w:type="dxa"/>
            <w:tcBorders/>
            <w:vAlign w:val="center"/>
          </w:tcPr>
          <w:p>
            <w:pPr>
              <w:pStyle w:val="TableContents"/>
              <w:bidi w:val="0"/>
              <w:spacing w:before="0" w:after="283"/>
              <w:jc w:val="both"/>
              <w:rPr>
                <w:rFonts w:ascii="Times New Roman;Times;Serif" w:hAnsi="Times New Roman;Times;Serif"/>
                <w:sz w:val="20"/>
              </w:rPr>
            </w:pPr>
            <w:bookmarkStart w:id="1225" w:name="xdx_F1E_zLliE4ldMO0a"/>
            <w:bookmarkEnd w:id="1225"/>
            <w:r>
              <w:rPr>
                <w:rFonts w:ascii="Times New Roman;Times;Serif" w:hAnsi="Times New Roman;Times;Serif"/>
                <w:sz w:val="20"/>
              </w:rPr>
              <w:t>Includes total total non-operating expenses, provision for income taxes, and loss from discontinued operations.</w:t>
            </w:r>
          </w:p>
        </w:tc>
      </w:tr>
    </w:tbl>
    <w:p>
      <w:pPr>
        <w:pStyle w:val="TextBody"/>
        <w:bidi w:val="0"/>
        <w:spacing w:before="0" w:after="0"/>
        <w:ind w:left="0" w:right="0" w:hanging="0"/>
        <w:jc w:val="left"/>
        <w:rPr>
          <w:caps w:val="false"/>
          <w:smallCaps w:val="false"/>
        </w:rPr>
      </w:pPr>
      <w:bookmarkStart w:id="1226" w:name="xdx_8A1_zEaJJ067HFDc"/>
      <w:bookmarkEnd w:id="12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the Company’s financial position based on the consolidated balance sheet and does not review segment-level asset information. Accordingly, no separate segment asset disclosures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bookmarkStart w:id="1227" w:name="xdx_806_eus-gaap--IncomeTaxDisclosureTex"/>
      <w:bookmarkEnd w:id="1227"/>
      <w:r>
        <w:rPr>
          <w:rFonts w:ascii="Times New Roman;Times;Serif" w:hAnsi="Times New Roman;Times;Serif"/>
          <w:b/>
          <w:i w:val="false"/>
          <w:caps w:val="false"/>
          <w:smallCaps w:val="false"/>
          <w:sz w:val="20"/>
        </w:rPr>
        <w:t xml:space="preserve">NOTE 18 — </w:t>
      </w:r>
      <w:bookmarkStart w:id="1228" w:name="xdx_826_zmrwGyAkzQak"/>
      <w:bookmarkEnd w:id="1228"/>
      <w:r>
        <w:rPr>
          <w:rFonts w:ascii="Times New Roman;Times;Serif" w:hAnsi="Times New Roman;Times;Serif"/>
          <w:b/>
          <w:i w:val="false"/>
          <w:caps w:val="false"/>
          <w:smallCaps w:val="false"/>
          <w:sz w:val="20"/>
        </w:rPr>
        <w:t>INCOME TAXES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29" w:name="xdx_89D_eus-gaap--ScheduleOfIncomeBefore"/>
      <w:bookmarkEnd w:id="1229"/>
      <w:r>
        <w:rPr>
          <w:rFonts w:ascii="Times New Roman;Times;Serif" w:hAnsi="Times New Roman;Times;Serif"/>
          <w:b w:val="false"/>
          <w:i w:val="false"/>
          <w:caps w:val="false"/>
          <w:smallCaps w:val="false"/>
          <w:sz w:val="20"/>
        </w:rPr>
        <w:t>The following table presents domestic and foreign components of consolidated loss before income taxes from continuing operations for the periods presented:</w:t>
      </w:r>
    </w:p>
    <w:p>
      <w:pPr>
        <w:pStyle w:val="TextBody"/>
        <w:bidi w:val="0"/>
        <w:spacing w:before="0" w:after="0"/>
        <w:ind w:left="0" w:right="0" w:hanging="0"/>
        <w:jc w:val="both"/>
        <w:rPr>
          <w:caps w:val="false"/>
          <w:smallCaps w:val="false"/>
        </w:rPr>
      </w:pPr>
      <w:r>
        <w:rPr>
          <w:caps w:val="false"/>
          <w:smallCaps w:val="false"/>
        </w:rPr>
        <w:t> </w:t>
      </w:r>
      <w:bookmarkStart w:id="1230" w:name="xdx_8B8_zEVkPskCUoDf"/>
      <w:bookmarkEnd w:id="1230"/>
      <w:r>
        <w:rPr>
          <w:rFonts w:ascii="Times New Roman;Times;Serif" w:hAnsi="Times New Roman;Times;Serif"/>
          <w:b w:val="false"/>
          <w:i w:val="false"/>
          <w:caps w:val="false"/>
          <w:smallCaps w:val="false"/>
          <w:sz w:val="20"/>
        </w:rPr>
        <w:t>SCHEDULE OF DOMESTIC AND FOREIGN COMPONENTS</w:t>
      </w:r>
    </w:p>
    <w:tbl>
      <w:tblPr>
        <w:tblW w:w="7943" w:type="dxa"/>
        <w:jc w:val="left"/>
        <w:tblInd w:w="0" w:type="dxa"/>
        <w:tblLayout w:type="fixed"/>
        <w:tblCellMar>
          <w:top w:w="0" w:type="dxa"/>
          <w:left w:w="0" w:type="dxa"/>
          <w:bottom w:w="0" w:type="dxa"/>
          <w:right w:w="0" w:type="dxa"/>
        </w:tblCellMar>
      </w:tblPr>
      <w:tblGrid>
        <w:gridCol w:w="3710"/>
        <w:gridCol w:w="60"/>
        <w:gridCol w:w="94"/>
        <w:gridCol w:w="1860"/>
        <w:gridCol w:w="95"/>
        <w:gridCol w:w="60"/>
        <w:gridCol w:w="105"/>
        <w:gridCol w:w="1849"/>
        <w:gridCol w:w="11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1" w:name="xdx_49D_20250101__20251231_zKHsoh8Ie494"/>
            <w:bookmarkEnd w:id="123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2" w:name="xdx_490_20240101__20241231_zZUKjWFJNYZ4"/>
            <w:bookmarkEnd w:id="123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1233" w:name="xdx_400_eus-gaap--IncomeLossFromContinui"/>
            <w:bookmarkEnd w:id="1233"/>
          </w:p>
        </w:tc>
      </w:tr>
      <w:tr>
        <w:trPr/>
        <w:tc>
          <w:tcPr>
            <w:tcW w:w="371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(16,965,875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(6,152,857</w:t>
            </w:r>
          </w:p>
        </w:tc>
        <w:tc>
          <w:tcPr>
            <w:tcW w:w="110" w:type="dxa"/>
            <w:tcBorders/>
            <w:shd w:fill="CCEEFF" w:val="clear"/>
            <w:vAlign w:val="center"/>
          </w:tcPr>
          <w:p>
            <w:pPr>
              <w:pStyle w:val="TableContents"/>
              <w:bidi w:val="0"/>
              <w:spacing w:before="0" w:after="283"/>
              <w:jc w:val="left"/>
              <w:rPr/>
            </w:pPr>
            <w:r>
              <w:rPr/>
              <w:t>)</w:t>
            </w:r>
            <w:bookmarkStart w:id="1234" w:name="xdx_406_eus-gaap--IncomeLossFromContinui"/>
            <w:bookmarkEnd w:id="1234"/>
          </w:p>
        </w:tc>
      </w:tr>
      <w:tr>
        <w:trPr/>
        <w:tc>
          <w:tcPr>
            <w:tcW w:w="371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35" w:name="xdx_404_eus-gaap--IncomeLossFromContinui"/>
            <w:bookmarkEnd w:id="1235"/>
          </w:p>
        </w:tc>
      </w:tr>
      <w:tr>
        <w:trPr/>
        <w:tc>
          <w:tcPr>
            <w:tcW w:w="3710"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60" w:type="dxa"/>
            <w:tcBorders>
              <w:bottom w:val="double" w:sz="6" w:space="0" w:color="000000"/>
            </w:tcBorders>
            <w:shd w:fill="CCEEFF" w:val="clear"/>
            <w:tcMar>
              <w:bottom w:w="28" w:type="dxa"/>
            </w:tcMar>
            <w:vAlign w:val="center"/>
          </w:tcPr>
          <w:p>
            <w:pPr>
              <w:pStyle w:val="TableContents"/>
              <w:bidi w:val="0"/>
              <w:spacing w:before="0" w:after="283"/>
              <w:jc w:val="right"/>
              <w:rPr/>
            </w:pPr>
            <w:r>
              <w:rPr/>
              <w:t>(16,965,875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9" w:type="dxa"/>
            <w:tcBorders>
              <w:bottom w:val="double" w:sz="6" w:space="0" w:color="000000"/>
            </w:tcBorders>
            <w:shd w:fill="CCEEFF" w:val="clear"/>
            <w:tcMar>
              <w:bottom w:w="28" w:type="dxa"/>
            </w:tcMar>
            <w:vAlign w:val="center"/>
          </w:tcPr>
          <w:p>
            <w:pPr>
              <w:pStyle w:val="TableContents"/>
              <w:bidi w:val="0"/>
              <w:spacing w:before="0" w:after="283"/>
              <w:jc w:val="right"/>
              <w:rPr/>
            </w:pPr>
            <w:r>
              <w:rPr/>
              <w:t>(6,152,857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36" w:name="xdx_89D_eus-gaap--ScheduleOfEffectiveInc"/>
      <w:bookmarkEnd w:id="1236"/>
      <w:r>
        <w:rPr>
          <w:rFonts w:ascii="Times New Roman;Times;Serif" w:hAnsi="Times New Roman;Times;Serif"/>
          <w:b w:val="false"/>
          <w:i w:val="false"/>
          <w:caps w:val="false"/>
          <w:smallCaps w:val="false"/>
          <w:sz w:val="20"/>
        </w:rPr>
        <w:t>Beginning in 2025 annual reporting, we adopted ASU 2023-09 prospectively. A reconciliation of the statutory income tax rates and the Company’s effective tax rate is as follows:</w:t>
      </w:r>
    </w:p>
    <w:p>
      <w:pPr>
        <w:pStyle w:val="TextBody"/>
        <w:bidi w:val="0"/>
        <w:spacing w:before="0" w:after="0"/>
        <w:ind w:left="0" w:right="0" w:hanging="0"/>
        <w:jc w:val="both"/>
        <w:rPr>
          <w:caps w:val="false"/>
          <w:smallCaps w:val="false"/>
        </w:rPr>
      </w:pPr>
      <w:r>
        <w:rPr>
          <w:caps w:val="false"/>
          <w:smallCaps w:val="false"/>
        </w:rPr>
        <w:t> </w:t>
      </w:r>
      <w:bookmarkStart w:id="1237" w:name="xdx_8BB_zUIIbr2TLnU8"/>
      <w:bookmarkEnd w:id="1237"/>
      <w:r>
        <w:rPr>
          <w:rFonts w:ascii="Times New Roman;Times;Serif" w:hAnsi="Times New Roman;Times;Serif"/>
          <w:b w:val="false"/>
          <w:i w:val="false"/>
          <w:caps w:val="false"/>
          <w:smallCaps w:val="false"/>
          <w:sz w:val="20"/>
        </w:rPr>
        <w:t>SCHEDULE OF RECONCILIATIONS OF STATUTORY INCOME TAX RATE</w:t>
      </w:r>
    </w:p>
    <w:tbl>
      <w:tblPr>
        <w:tblW w:w="9195" w:type="dxa"/>
        <w:jc w:val="left"/>
        <w:tblInd w:w="0" w:type="dxa"/>
        <w:tblLayout w:type="fixed"/>
        <w:tblCellMar>
          <w:top w:w="0" w:type="dxa"/>
          <w:left w:w="0" w:type="dxa"/>
          <w:bottom w:w="0" w:type="dxa"/>
          <w:right w:w="0" w:type="dxa"/>
        </w:tblCellMar>
      </w:tblPr>
      <w:tblGrid>
        <w:gridCol w:w="6710"/>
        <w:gridCol w:w="60"/>
        <w:gridCol w:w="140"/>
        <w:gridCol w:w="1055"/>
        <w:gridCol w:w="95"/>
        <w:gridCol w:w="60"/>
        <w:gridCol w:w="69"/>
        <w:gridCol w:w="731"/>
        <w:gridCol w:w="275"/>
      </w:tblGrid>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8" w:name="xdx_495_20250101__20251231_zTF22bXmG37g"/>
            <w:bookmarkEnd w:id="1238"/>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275"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75"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275" w:type="dxa"/>
            <w:tcBorders/>
            <w:vAlign w:val="center"/>
          </w:tcPr>
          <w:p>
            <w:pPr>
              <w:pStyle w:val="TableContents"/>
              <w:bidi w:val="0"/>
              <w:spacing w:before="0" w:after="283"/>
              <w:jc w:val="left"/>
              <w:rPr/>
            </w:pPr>
            <w:r>
              <w:rPr/>
              <w:t> </w:t>
            </w:r>
            <w:bookmarkStart w:id="1239" w:name="xdx_406_eus-gaap--EffectiveIncomeTaxRate"/>
            <w:bookmarkEnd w:id="1239"/>
          </w:p>
        </w:tc>
      </w:tr>
      <w:tr>
        <w:trPr/>
        <w:tc>
          <w:tcPr>
            <w:tcW w:w="6710" w:type="dxa"/>
            <w:tcBorders/>
            <w:shd w:fill="CCEEFF" w:val="clear"/>
            <w:vAlign w:val="center"/>
          </w:tcPr>
          <w:p>
            <w:pPr>
              <w:pStyle w:val="TableContents"/>
              <w:bidi w:val="0"/>
              <w:spacing w:before="0" w:after="283"/>
              <w:jc w:val="left"/>
              <w:rPr/>
            </w:pPr>
            <w:bookmarkStart w:id="1240" w:name="xdx_909_eus-gaap--TaxJurisdictionOfDomic"/>
            <w:bookmarkEnd w:id="1240"/>
            <w:r>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41" w:name="xdx_984_eus-gaap--IncomeTaxReconciliatio"/>
            <w:bookmarkEnd w:id="1241"/>
          </w:p>
        </w:tc>
        <w:tc>
          <w:tcPr>
            <w:tcW w:w="1055" w:type="dxa"/>
            <w:tcBorders/>
            <w:shd w:fill="CCEEFF" w:val="clear"/>
            <w:vAlign w:val="center"/>
          </w:tcPr>
          <w:p>
            <w:pPr>
              <w:pStyle w:val="TableContents"/>
              <w:bidi w:val="0"/>
              <w:spacing w:before="0" w:after="283"/>
              <w:jc w:val="right"/>
              <w:rPr/>
            </w:pPr>
            <w:r>
              <w:rPr/>
              <w:t>(3,562,676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21.00</w:t>
            </w:r>
          </w:p>
        </w:tc>
        <w:tc>
          <w:tcPr>
            <w:tcW w:w="275" w:type="dxa"/>
            <w:tcBorders/>
            <w:shd w:fill="CCEEFF" w:val="clear"/>
            <w:vAlign w:val="center"/>
          </w:tcPr>
          <w:p>
            <w:pPr>
              <w:pStyle w:val="TableContents"/>
              <w:bidi w:val="0"/>
              <w:spacing w:before="0" w:after="283"/>
              <w:jc w:val="left"/>
              <w:rPr/>
            </w:pPr>
            <w:r>
              <w:rPr/>
              <w:t>%</w:t>
            </w:r>
            <w:bookmarkStart w:id="1242" w:name="xdx_40A_eus-gaap--EffectiveIncomeTaxRate"/>
            <w:bookmarkEnd w:id="1242"/>
          </w:p>
        </w:tc>
      </w:tr>
      <w:tr>
        <w:trPr/>
        <w:tc>
          <w:tcPr>
            <w:tcW w:w="6710" w:type="dxa"/>
            <w:tcBorders/>
            <w:shd w:fill="FFFFFF" w:val="clear"/>
            <w:vAlign w:val="center"/>
          </w:tcPr>
          <w:p>
            <w:pPr>
              <w:pStyle w:val="TableContents"/>
              <w:bidi w:val="0"/>
              <w:spacing w:before="0" w:after="283"/>
              <w:jc w:val="left"/>
              <w:rPr/>
            </w:pPr>
            <w:r>
              <w:rPr/>
              <w:t>State taxes, net of federal income tax effect</w:t>
            </w:r>
            <w:bookmarkStart w:id="1243" w:name="xdx_F4E_zurP8QhjC3Jd"/>
            <w:bookmarkEnd w:id="1243"/>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44" w:name="xdx_98B_eus-gaap--IncomeTaxReconciliatio"/>
            <w:bookmarkEnd w:id="1244"/>
          </w:p>
        </w:tc>
        <w:tc>
          <w:tcPr>
            <w:tcW w:w="1055" w:type="dxa"/>
            <w:tcBorders/>
            <w:shd w:fill="FFFFFF" w:val="clear"/>
            <w:vAlign w:val="center"/>
          </w:tcPr>
          <w:p>
            <w:pPr>
              <w:pStyle w:val="TableContents"/>
              <w:bidi w:val="0"/>
              <w:spacing w:before="0" w:after="283"/>
              <w:jc w:val="right"/>
              <w:rPr/>
            </w:pPr>
            <w:r>
              <w:rPr/>
              <w:t>(828,843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4.89</w:t>
            </w:r>
          </w:p>
        </w:tc>
        <w:tc>
          <w:tcPr>
            <w:tcW w:w="275" w:type="dxa"/>
            <w:tcBorders/>
            <w:shd w:fill="FFFFFF" w:val="clear"/>
            <w:vAlign w:val="center"/>
          </w:tcPr>
          <w:p>
            <w:pPr>
              <w:pStyle w:val="TableContents"/>
              <w:bidi w:val="0"/>
              <w:spacing w:before="0" w:after="283"/>
              <w:jc w:val="left"/>
              <w:rPr/>
            </w:pPr>
            <w:r>
              <w:rPr/>
              <w:t>%</w:t>
            </w:r>
            <w:bookmarkStart w:id="1245" w:name="xdx_40D_eus-gaap--EffectiveIncomeTaxRate"/>
            <w:bookmarkEnd w:id="1245"/>
          </w:p>
        </w:tc>
      </w:tr>
      <w:tr>
        <w:trPr/>
        <w:tc>
          <w:tcPr>
            <w:tcW w:w="671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46" w:name="xdx_988_eus-gaap--IncomeTaxReconciliatio"/>
            <w:bookmarkEnd w:id="1246"/>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bookmarkStart w:id="1247" w:name="xdx_402_ecustom--EffectiveIncomeTaxRateR"/>
            <w:bookmarkEnd w:id="1247"/>
          </w:p>
        </w:tc>
      </w:tr>
      <w:tr>
        <w:trPr/>
        <w:tc>
          <w:tcPr>
            <w:tcW w:w="6710" w:type="dxa"/>
            <w:tcBorders/>
            <w:shd w:fill="CCEEFF" w:val="clear"/>
            <w:vAlign w:val="center"/>
          </w:tcPr>
          <w:p>
            <w:pPr>
              <w:pStyle w:val="TableContents"/>
              <w:bidi w:val="0"/>
              <w:spacing w:before="0" w:after="283"/>
              <w:jc w:val="left"/>
              <w:rPr/>
            </w:pPr>
            <w:r>
              <w:rPr/>
              <w:t>NOL expiration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248" w:name="xdx_406_eus-gaap--EffectiveIncomeTaxRate"/>
            <w:bookmarkEnd w:id="1248"/>
          </w:p>
        </w:tc>
      </w:tr>
      <w:tr>
        <w:trPr/>
        <w:tc>
          <w:tcPr>
            <w:tcW w:w="6710" w:type="dxa"/>
            <w:tcBorders/>
            <w:shd w:fill="FFFFFF" w:val="clear"/>
            <w:vAlign w:val="center"/>
          </w:tcPr>
          <w:p>
            <w:pPr>
              <w:pStyle w:val="TableContents"/>
              <w:bidi w:val="0"/>
              <w:spacing w:before="0" w:after="283"/>
              <w:jc w:val="left"/>
              <w:rPr/>
            </w:pPr>
            <w:r>
              <w:rPr/>
              <w:t>Effect of Changes in Tax Laws or Rates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49" w:name="xdx_980_eus-gaap--IncomeTaxReconciliatio"/>
            <w:bookmarkEnd w:id="1249"/>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bookmarkStart w:id="1250" w:name="xdx_40B_eus-gaap--EffectiveIncomeTaxRate"/>
            <w:bookmarkEnd w:id="1250"/>
          </w:p>
        </w:tc>
      </w:tr>
      <w:tr>
        <w:trPr/>
        <w:tc>
          <w:tcPr>
            <w:tcW w:w="6710" w:type="dxa"/>
            <w:tcBorders/>
            <w:shd w:fill="CCEEFF" w:val="clear"/>
            <w:vAlign w:val="center"/>
          </w:tcPr>
          <w:p>
            <w:pPr>
              <w:pStyle w:val="TableContents"/>
              <w:bidi w:val="0"/>
              <w:spacing w:before="0" w:after="283"/>
              <w:jc w:val="left"/>
              <w:rPr/>
            </w:pPr>
            <w:r>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51" w:name="xdx_989_eus-gaap--EffectiveIncomeTaxRate"/>
            <w:bookmarkEnd w:id="1251"/>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bookmarkStart w:id="1252" w:name="xdx_403_eus-gaap--EffectiveIncomeTaxRate"/>
            <w:bookmarkEnd w:id="1252"/>
          </w:p>
        </w:tc>
      </w:tr>
      <w:tr>
        <w:trPr/>
        <w:tc>
          <w:tcPr>
            <w:tcW w:w="6710" w:type="dxa"/>
            <w:tcBorders/>
            <w:shd w:fill="FFFFFF" w:val="clear"/>
            <w:vAlign w:val="center"/>
          </w:tcPr>
          <w:p>
            <w:pPr>
              <w:pStyle w:val="TableContents"/>
              <w:bidi w:val="0"/>
              <w:spacing w:before="0" w:after="283"/>
              <w:jc w:val="left"/>
              <w:rPr/>
            </w:pPr>
            <w:r>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1253" w:name="xdx_407_eus-gaap--EffectiveIncomeTaxRate"/>
            <w:bookmarkEnd w:id="1253"/>
          </w:p>
        </w:tc>
      </w:tr>
      <w:tr>
        <w:trPr/>
        <w:tc>
          <w:tcPr>
            <w:tcW w:w="6710" w:type="dxa"/>
            <w:tcBorders/>
            <w:shd w:fill="CCEEFF" w:val="clear"/>
            <w:vAlign w:val="center"/>
          </w:tcPr>
          <w:p>
            <w:pPr>
              <w:pStyle w:val="TableContents"/>
              <w:bidi w:val="0"/>
              <w:spacing w:before="0" w:after="283"/>
              <w:jc w:val="left"/>
              <w:rPr/>
            </w:pPr>
            <w:r>
              <w:rPr/>
              <w:t>Research and development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54" w:name="xdx_984_eus-gaap--IncomeTaxReconciliatio"/>
            <w:bookmarkEnd w:id="1254"/>
          </w:p>
        </w:tc>
        <w:tc>
          <w:tcPr>
            <w:tcW w:w="1055" w:type="dxa"/>
            <w:tcBorders/>
            <w:shd w:fill="CCEEFF" w:val="clear"/>
            <w:vAlign w:val="center"/>
          </w:tcPr>
          <w:p>
            <w:pPr>
              <w:pStyle w:val="TableContents"/>
              <w:bidi w:val="0"/>
              <w:spacing w:before="0" w:after="283"/>
              <w:jc w:val="right"/>
              <w:rPr/>
            </w:pPr>
            <w:r>
              <w:rPr/>
              <w:t>8,285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-0.05</w:t>
            </w:r>
          </w:p>
        </w:tc>
        <w:tc>
          <w:tcPr>
            <w:tcW w:w="275" w:type="dxa"/>
            <w:tcBorders/>
            <w:shd w:fill="CCEEFF" w:val="clear"/>
            <w:vAlign w:val="center"/>
          </w:tcPr>
          <w:p>
            <w:pPr>
              <w:pStyle w:val="TableContents"/>
              <w:bidi w:val="0"/>
              <w:spacing w:before="0" w:after="283"/>
              <w:jc w:val="left"/>
              <w:rPr/>
            </w:pPr>
            <w:r>
              <w:rPr/>
              <w:t>%</w:t>
            </w:r>
            <w:bookmarkStart w:id="1255" w:name="xdx_409_eus-gaap--EffectiveIncomeTaxRate"/>
            <w:bookmarkEnd w:id="1255"/>
          </w:p>
        </w:tc>
      </w:tr>
      <w:tr>
        <w:trPr/>
        <w:tc>
          <w:tcPr>
            <w:tcW w:w="6710" w:type="dxa"/>
            <w:tcBorders/>
            <w:shd w:fill="FFFFFF" w:val="clear"/>
            <w:vAlign w:val="center"/>
          </w:tcPr>
          <w:p>
            <w:pPr>
              <w:pStyle w:val="TableContents"/>
              <w:bidi w:val="0"/>
              <w:spacing w:before="0" w:after="283"/>
              <w:jc w:val="left"/>
              <w:rPr/>
            </w:pPr>
            <w:r>
              <w:rPr/>
              <w:t>Change in FV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1256" w:name="xdx_402_ecustom--EffectiveIncomeTaxRateR"/>
            <w:bookmarkEnd w:id="1256"/>
          </w:p>
        </w:tc>
      </w:tr>
      <w:tr>
        <w:trPr/>
        <w:tc>
          <w:tcPr>
            <w:tcW w:w="6710" w:type="dxa"/>
            <w:tcBorders/>
            <w:shd w:fill="FFFFFF" w:val="clear"/>
            <w:vAlign w:val="center"/>
          </w:tcPr>
          <w:p>
            <w:pPr>
              <w:pStyle w:val="TableContents"/>
              <w:bidi w:val="0"/>
              <w:spacing w:before="0" w:after="283"/>
              <w:jc w:val="left"/>
              <w:rPr/>
            </w:pPr>
            <w:r>
              <w:rPr/>
              <w:t>Tax impact of convertible debenture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1257" w:name="xdx_405_ecustom--EffectiveIncomeTaxRateR"/>
            <w:bookmarkEnd w:id="1257"/>
          </w:p>
        </w:tc>
      </w:tr>
      <w:tr>
        <w:trPr/>
        <w:tc>
          <w:tcPr>
            <w:tcW w:w="6710" w:type="dxa"/>
            <w:tcBorders/>
            <w:shd w:fill="FFFFFF" w:val="clear"/>
            <w:vAlign w:val="center"/>
          </w:tcPr>
          <w:p>
            <w:pPr>
              <w:pStyle w:val="TableContents"/>
              <w:bidi w:val="0"/>
              <w:spacing w:before="0" w:after="283"/>
              <w:jc w:val="left"/>
              <w:rPr/>
            </w:pPr>
            <w:r>
              <w:rPr/>
              <w:t>Tax impact of divestiture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1258" w:name="xdx_40A_eus-gaap--EffectiveIncomeTaxRate"/>
            <w:bookmarkEnd w:id="1258"/>
          </w:p>
        </w:tc>
      </w:tr>
      <w:tr>
        <w:trPr/>
        <w:tc>
          <w:tcPr>
            <w:tcW w:w="6710" w:type="dxa"/>
            <w:tcBorders/>
            <w:shd w:fill="FFFFFF" w:val="clear"/>
            <w:vAlign w:val="center"/>
          </w:tcPr>
          <w:p>
            <w:pPr>
              <w:pStyle w:val="TableContents"/>
              <w:bidi w:val="0"/>
              <w:spacing w:before="0" w:after="283"/>
              <w:jc w:val="left"/>
              <w:rPr/>
            </w:pPr>
            <w:r>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59" w:name="xdx_98C_eus-gaap--IncomeTaxReconciliatio"/>
            <w:bookmarkEnd w:id="1259"/>
          </w:p>
        </w:tc>
        <w:tc>
          <w:tcPr>
            <w:tcW w:w="1055" w:type="dxa"/>
            <w:tcBorders/>
            <w:shd w:fill="FFFFFF" w:val="clear"/>
            <w:vAlign w:val="center"/>
          </w:tcPr>
          <w:p>
            <w:pPr>
              <w:pStyle w:val="TableContents"/>
              <w:bidi w:val="0"/>
              <w:spacing w:before="0" w:after="283"/>
              <w:jc w:val="right"/>
              <w:rPr/>
            </w:pPr>
            <w:r>
              <w:rPr/>
              <w:t>589,175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-3.47</w:t>
            </w:r>
          </w:p>
        </w:tc>
        <w:tc>
          <w:tcPr>
            <w:tcW w:w="275" w:type="dxa"/>
            <w:tcBorders/>
            <w:shd w:fill="FFFFFF" w:val="clear"/>
            <w:vAlign w:val="center"/>
          </w:tcPr>
          <w:p>
            <w:pPr>
              <w:pStyle w:val="TableContents"/>
              <w:bidi w:val="0"/>
              <w:spacing w:before="0" w:after="283"/>
              <w:jc w:val="left"/>
              <w:rPr/>
            </w:pPr>
            <w:r>
              <w:rPr/>
              <w:t>%</w:t>
            </w:r>
          </w:p>
        </w:tc>
      </w:tr>
      <w:tr>
        <w:trPr/>
        <w:tc>
          <w:tcPr>
            <w:tcW w:w="6710" w:type="dxa"/>
            <w:tcBorders/>
            <w:shd w:fill="CCEEFF" w:val="clear"/>
            <w:vAlign w:val="center"/>
          </w:tcPr>
          <w:p>
            <w:pPr>
              <w:pStyle w:val="TableContents"/>
              <w:bidi w:val="0"/>
              <w:spacing w:before="0" w:after="283"/>
              <w:jc w:val="left"/>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260" w:name="xdx_40D_eus-gaap--EffectiveIncomeTaxRate"/>
            <w:bookmarkEnd w:id="1260"/>
          </w:p>
        </w:tc>
      </w:tr>
      <w:tr>
        <w:trPr/>
        <w:tc>
          <w:tcPr>
            <w:tcW w:w="6710"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61" w:name="xdx_98F_eus-gaap--IncomeTaxReconciliatio"/>
            <w:bookmarkEnd w:id="1261"/>
          </w:p>
        </w:tc>
        <w:tc>
          <w:tcPr>
            <w:tcW w:w="1055" w:type="dxa"/>
            <w:tcBorders/>
            <w:shd w:fill="FFFFFF" w:val="clear"/>
            <w:vAlign w:val="center"/>
          </w:tcPr>
          <w:p>
            <w:pPr>
              <w:pStyle w:val="TableContents"/>
              <w:bidi w:val="0"/>
              <w:spacing w:before="0" w:after="283"/>
              <w:jc w:val="right"/>
              <w:rPr/>
            </w:pPr>
            <w:r>
              <w:rPr/>
              <w:t>120,826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-0.71</w:t>
            </w:r>
          </w:p>
        </w:tc>
        <w:tc>
          <w:tcPr>
            <w:tcW w:w="275" w:type="dxa"/>
            <w:tcBorders/>
            <w:shd w:fill="FFFFFF" w:val="clear"/>
            <w:vAlign w:val="center"/>
          </w:tcPr>
          <w:p>
            <w:pPr>
              <w:pStyle w:val="TableContents"/>
              <w:bidi w:val="0"/>
              <w:spacing w:before="0" w:after="283"/>
              <w:jc w:val="left"/>
              <w:rPr/>
            </w:pPr>
            <w:r>
              <w:rPr/>
              <w:t>%</w:t>
            </w:r>
            <w:bookmarkStart w:id="1262" w:name="xdx_407_eus-gaap--EffectiveIncomeTaxRate"/>
            <w:bookmarkEnd w:id="1262"/>
          </w:p>
        </w:tc>
      </w:tr>
      <w:tr>
        <w:trPr/>
        <w:tc>
          <w:tcPr>
            <w:tcW w:w="6710"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63" w:name="xdx_980_eus-gaap--IncomeTaxReconciliatio"/>
            <w:bookmarkEnd w:id="1263"/>
          </w:p>
        </w:tc>
        <w:tc>
          <w:tcPr>
            <w:tcW w:w="1055" w:type="dxa"/>
            <w:tcBorders/>
            <w:shd w:fill="CCEEFF" w:val="clear"/>
            <w:vAlign w:val="center"/>
          </w:tcPr>
          <w:p>
            <w:pPr>
              <w:pStyle w:val="TableContents"/>
              <w:bidi w:val="0"/>
              <w:spacing w:before="0" w:after="283"/>
              <w:jc w:val="right"/>
              <w:rPr/>
            </w:pPr>
            <w:r>
              <w:rPr/>
              <w:t>108,017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-0.64</w:t>
            </w:r>
          </w:p>
        </w:tc>
        <w:tc>
          <w:tcPr>
            <w:tcW w:w="275" w:type="dxa"/>
            <w:tcBorders/>
            <w:shd w:fill="CCEEFF" w:val="clear"/>
            <w:vAlign w:val="center"/>
          </w:tcPr>
          <w:p>
            <w:pPr>
              <w:pStyle w:val="TableContents"/>
              <w:bidi w:val="0"/>
              <w:spacing w:before="0" w:after="283"/>
              <w:jc w:val="left"/>
              <w:rPr/>
            </w:pPr>
            <w:r>
              <w:rPr/>
              <w:t>%</w:t>
            </w:r>
            <w:bookmarkStart w:id="1264" w:name="xdx_40D_eus-gaap--EffectiveIncomeTaxRate"/>
            <w:bookmarkEnd w:id="1264"/>
          </w:p>
        </w:tc>
      </w:tr>
      <w:tr>
        <w:trPr/>
        <w:tc>
          <w:tcPr>
            <w:tcW w:w="6710" w:type="dxa"/>
            <w:tcBorders/>
            <w:shd w:fill="FFFFFF" w:val="clear"/>
            <w:vAlign w:val="center"/>
          </w:tcPr>
          <w:p>
            <w:pPr>
              <w:pStyle w:val="TableContents"/>
              <w:bidi w:val="0"/>
              <w:spacing w:before="0" w:after="283"/>
              <w:jc w:val="left"/>
              <w:rPr/>
            </w:pPr>
            <w:r>
              <w:rPr/>
              <w:t>Changes in Unrecognized Tax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65" w:name="xdx_98D_eus-gaap--IncomeTaxReconciliatio"/>
            <w:bookmarkEnd w:id="1265"/>
          </w:p>
        </w:tc>
        <w:tc>
          <w:tcPr>
            <w:tcW w:w="1055" w:type="dxa"/>
            <w:tcBorders/>
            <w:shd w:fill="FFFFFF" w:val="clear"/>
            <w:vAlign w:val="center"/>
          </w:tcPr>
          <w:p>
            <w:pPr>
              <w:pStyle w:val="TableContents"/>
              <w:bidi w:val="0"/>
              <w:spacing w:before="0" w:after="283"/>
              <w:jc w:val="right"/>
              <w:rPr/>
            </w:pPr>
            <w:r>
              <w:rPr/>
              <w:t>(254,408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1.50</w:t>
            </w:r>
          </w:p>
        </w:tc>
        <w:tc>
          <w:tcPr>
            <w:tcW w:w="275" w:type="dxa"/>
            <w:tcBorders/>
            <w:shd w:fill="FFFFFF" w:val="clear"/>
            <w:vAlign w:val="center"/>
          </w:tcPr>
          <w:p>
            <w:pPr>
              <w:pStyle w:val="TableContents"/>
              <w:bidi w:val="0"/>
              <w:spacing w:before="0" w:after="283"/>
              <w:jc w:val="left"/>
              <w:rPr/>
            </w:pPr>
            <w:r>
              <w:rPr/>
              <w:t>%</w:t>
            </w:r>
          </w:p>
        </w:tc>
      </w:tr>
      <w:tr>
        <w:trPr/>
        <w:tc>
          <w:tcPr>
            <w:tcW w:w="671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266" w:name="xdx_40B_ecustom--EffectiveIncomeTaxRateR"/>
            <w:bookmarkEnd w:id="1266"/>
          </w:p>
        </w:tc>
      </w:tr>
      <w:tr>
        <w:trPr/>
        <w:tc>
          <w:tcPr>
            <w:tcW w:w="6710" w:type="dxa"/>
            <w:tcBorders/>
            <w:shd w:fill="FFFFFF" w:val="clear"/>
            <w:vAlign w:val="center"/>
          </w:tcPr>
          <w:p>
            <w:pPr>
              <w:pStyle w:val="TableContents"/>
              <w:bidi w:val="0"/>
              <w:spacing w:before="0" w:after="283"/>
              <w:jc w:val="left"/>
              <w:rPr/>
            </w:pPr>
            <w:r>
              <w:rPr/>
              <w:t>Tax impact of section 382 attribute forfeiture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67" w:name="xdx_98C_ecustom--IncomeTaxReconciliation"/>
            <w:bookmarkEnd w:id="1267"/>
          </w:p>
        </w:tc>
        <w:tc>
          <w:tcPr>
            <w:tcW w:w="1055" w:type="dxa"/>
            <w:tcBorders/>
            <w:shd w:fill="FFFFFF" w:val="clear"/>
            <w:vAlign w:val="center"/>
          </w:tcPr>
          <w:p>
            <w:pPr>
              <w:pStyle w:val="TableContents"/>
              <w:bidi w:val="0"/>
              <w:spacing w:before="0" w:after="283"/>
              <w:jc w:val="right"/>
              <w:rPr/>
            </w:pPr>
            <w:r>
              <w:rPr/>
              <w:t>3,820,144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-22.52</w:t>
            </w:r>
          </w:p>
        </w:tc>
        <w:tc>
          <w:tcPr>
            <w:tcW w:w="275" w:type="dxa"/>
            <w:tcBorders/>
            <w:shd w:fill="FFFFFF" w:val="clear"/>
            <w:vAlign w:val="center"/>
          </w:tcPr>
          <w:p>
            <w:pPr>
              <w:pStyle w:val="TableContents"/>
              <w:bidi w:val="0"/>
              <w:spacing w:before="0" w:after="283"/>
              <w:jc w:val="left"/>
              <w:rPr/>
            </w:pPr>
            <w:r>
              <w:rPr/>
              <w:t>%</w:t>
            </w:r>
            <w:bookmarkStart w:id="1268" w:name="xdx_406_ecustom--EffectiveIncomeTaxRateR"/>
            <w:bookmarkEnd w:id="1268"/>
          </w:p>
        </w:tc>
      </w:tr>
      <w:tr>
        <w:trPr/>
        <w:tc>
          <w:tcPr>
            <w:tcW w:w="6710" w:type="dxa"/>
            <w:tcBorders/>
            <w:shd w:fill="CCEEFF" w:val="clear"/>
            <w:vAlign w:val="center"/>
          </w:tcPr>
          <w:p>
            <w:pPr>
              <w:pStyle w:val="TableContents"/>
              <w:bidi w:val="0"/>
              <w:spacing w:before="0" w:after="283"/>
              <w:jc w:val="left"/>
              <w:rPr/>
            </w:pPr>
            <w:r>
              <w:rPr/>
              <w:t>True-up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9" w:name="xdx_987_ecustom--IncomeTaxReconciliation"/>
            <w:bookmarkEnd w:id="126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w:t>
            </w:r>
            <w:bookmarkStart w:id="1270" w:name="xdx_409_eus-gaap--EffectiveIncomeTaxRate"/>
            <w:bookmarkEnd w:id="1270"/>
          </w:p>
        </w:tc>
      </w:tr>
      <w:tr>
        <w:trPr/>
        <w:tc>
          <w:tcPr>
            <w:tcW w:w="6710" w:type="dxa"/>
            <w:tcBorders/>
            <w:shd w:fill="FFFFFF" w:val="clear"/>
            <w:vAlign w:val="center"/>
          </w:tcPr>
          <w:p>
            <w:pPr>
              <w:pStyle w:val="TableContents"/>
              <w:bidi w:val="0"/>
              <w:spacing w:before="0" w:after="283"/>
              <w:jc w:val="left"/>
              <w:rPr/>
            </w:pPr>
            <w:r>
              <w:rPr/>
              <w:t>Income taxes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1271" w:name="xdx_98A_eus-gaap--IncomeTaxExpenseBenefi"/>
            <w:bookmarkEnd w:id="127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required disclosures prior to the adoption of ASU 2023-09 and displays the reconciliation between statutory federal income taxes and the total income tax provision (benefit):</w:t>
      </w:r>
    </w:p>
    <w:p>
      <w:pPr>
        <w:pStyle w:val="TextBody"/>
        <w:bidi w:val="0"/>
        <w:spacing w:before="0" w:after="0"/>
        <w:ind w:left="0" w:right="0" w:hanging="0"/>
        <w:jc w:val="both"/>
        <w:rPr>
          <w:caps w:val="false"/>
          <w:smallCaps w:val="false"/>
        </w:rPr>
      </w:pPr>
      <w:r>
        <w:rPr>
          <w:caps w:val="false"/>
          <w:smallCaps w:val="false"/>
        </w:rPr>
        <w:t> </w:t>
      </w:r>
    </w:p>
    <w:tbl>
      <w:tblPr>
        <w:tblW w:w="6494" w:type="dxa"/>
        <w:jc w:val="left"/>
        <w:tblInd w:w="0" w:type="dxa"/>
        <w:tblLayout w:type="fixed"/>
        <w:tblCellMar>
          <w:top w:w="0" w:type="dxa"/>
          <w:left w:w="0" w:type="dxa"/>
          <w:bottom w:w="0" w:type="dxa"/>
          <w:right w:w="0" w:type="dxa"/>
        </w:tblCellMar>
      </w:tblPr>
      <w:tblGrid>
        <w:gridCol w:w="4250"/>
        <w:gridCol w:w="60"/>
        <w:gridCol w:w="142"/>
        <w:gridCol w:w="1812"/>
        <w:gridCol w:w="23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2" w:name="xdx_493_20240101__20241231_zL9PvsQx3fP7"/>
            <w:bookmarkEnd w:id="127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bookmarkStart w:id="1273" w:name="xdx_406_eus-gaap--EffectiveIncomeTaxRate"/>
            <w:bookmarkEnd w:id="1273"/>
          </w:p>
        </w:tc>
      </w:tr>
      <w:tr>
        <w:trPr/>
        <w:tc>
          <w:tcPr>
            <w:tcW w:w="4250" w:type="dxa"/>
            <w:tcBorders/>
            <w:shd w:fill="CCEEFF" w:val="clear"/>
            <w:vAlign w:val="center"/>
          </w:tcPr>
          <w:p>
            <w:pPr>
              <w:pStyle w:val="TableContents"/>
              <w:bidi w:val="0"/>
              <w:spacing w:before="0" w:after="283"/>
              <w:jc w:val="left"/>
              <w:rPr/>
            </w:pPr>
            <w:r>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21.00</w:t>
            </w:r>
          </w:p>
        </w:tc>
        <w:tc>
          <w:tcPr>
            <w:tcW w:w="230" w:type="dxa"/>
            <w:tcBorders/>
            <w:shd w:fill="CCEEFF" w:val="clear"/>
            <w:vAlign w:val="center"/>
          </w:tcPr>
          <w:p>
            <w:pPr>
              <w:pStyle w:val="TableContents"/>
              <w:bidi w:val="0"/>
              <w:spacing w:before="0" w:after="283"/>
              <w:jc w:val="left"/>
              <w:rPr/>
            </w:pPr>
            <w:r>
              <w:rPr/>
              <w:t>%</w:t>
            </w:r>
            <w:bookmarkStart w:id="1274" w:name="xdx_40D_eus-gaap--EffectiveIncomeTaxRate"/>
            <w:bookmarkEnd w:id="1274"/>
          </w:p>
        </w:tc>
      </w:tr>
      <w:tr>
        <w:trPr/>
        <w:tc>
          <w:tcPr>
            <w:tcW w:w="4250" w:type="dxa"/>
            <w:tcBorders/>
            <w:shd w:fill="FFFFFF" w:val="clear"/>
            <w:vAlign w:val="center"/>
          </w:tcPr>
          <w:p>
            <w:pPr>
              <w:pStyle w:val="TableContents"/>
              <w:bidi w:val="0"/>
              <w:spacing w:before="0" w:after="283"/>
              <w:jc w:val="left"/>
              <w:rPr/>
            </w:pPr>
            <w:r>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812" w:type="dxa"/>
            <w:tcBorders/>
            <w:shd w:fill="FFFFFF" w:val="clear"/>
            <w:vAlign w:val="center"/>
          </w:tcPr>
          <w:p>
            <w:pPr>
              <w:pStyle w:val="TableContents"/>
              <w:bidi w:val="0"/>
              <w:spacing w:before="0" w:after="283"/>
              <w:jc w:val="right"/>
              <w:rPr/>
            </w:pPr>
            <w:r>
              <w:rPr/>
              <w:t>5.90</w:t>
            </w:r>
          </w:p>
        </w:tc>
        <w:tc>
          <w:tcPr>
            <w:tcW w:w="230" w:type="dxa"/>
            <w:tcBorders/>
            <w:shd w:fill="FFFFFF" w:val="clear"/>
            <w:vAlign w:val="center"/>
          </w:tcPr>
          <w:p>
            <w:pPr>
              <w:pStyle w:val="TableContents"/>
              <w:bidi w:val="0"/>
              <w:spacing w:before="0" w:after="283"/>
              <w:jc w:val="left"/>
              <w:rPr/>
            </w:pPr>
            <w:r>
              <w:rPr/>
              <w:t>%</w:t>
            </w:r>
            <w:bookmarkStart w:id="1275" w:name="xdx_40D_eus-gaap--EffectiveIncomeTaxRate"/>
            <w:bookmarkEnd w:id="1275"/>
          </w:p>
        </w:tc>
      </w:tr>
      <w:tr>
        <w:trPr/>
        <w:tc>
          <w:tcPr>
            <w:tcW w:w="425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0.02</w:t>
            </w:r>
          </w:p>
        </w:tc>
        <w:tc>
          <w:tcPr>
            <w:tcW w:w="230" w:type="dxa"/>
            <w:tcBorders/>
            <w:shd w:fill="CCEEFF" w:val="clear"/>
            <w:vAlign w:val="center"/>
          </w:tcPr>
          <w:p>
            <w:pPr>
              <w:pStyle w:val="TableContents"/>
              <w:bidi w:val="0"/>
              <w:spacing w:before="0" w:after="283"/>
              <w:jc w:val="left"/>
              <w:rPr/>
            </w:pPr>
            <w:r>
              <w:rPr/>
              <w:t>%</w:t>
            </w:r>
            <w:bookmarkStart w:id="1276" w:name="xdx_402_ecustom--EffectiveIncomeTaxRateR"/>
            <w:bookmarkEnd w:id="1276"/>
          </w:p>
        </w:tc>
      </w:tr>
      <w:tr>
        <w:trPr/>
        <w:tc>
          <w:tcPr>
            <w:tcW w:w="4250" w:type="dxa"/>
            <w:tcBorders/>
            <w:shd w:fill="FFFFFF" w:val="clear"/>
            <w:vAlign w:val="center"/>
          </w:tcPr>
          <w:p>
            <w:pPr>
              <w:pStyle w:val="TableContents"/>
              <w:bidi w:val="0"/>
              <w:spacing w:before="0" w:after="283"/>
              <w:jc w:val="left"/>
              <w:rPr/>
            </w:pPr>
            <w:r>
              <w:rPr/>
              <w:t>NOL expiration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812"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bookmarkStart w:id="1277" w:name="xdx_401_eus-gaap--EffectiveIncomeTaxRate"/>
            <w:bookmarkEnd w:id="1277"/>
          </w:p>
        </w:tc>
      </w:tr>
      <w:tr>
        <w:trPr/>
        <w:tc>
          <w:tcPr>
            <w:tcW w:w="4250" w:type="dxa"/>
            <w:tcBorders/>
            <w:shd w:fill="CCEEFF" w:val="clear"/>
            <w:vAlign w:val="center"/>
          </w:tcPr>
          <w:p>
            <w:pPr>
              <w:pStyle w:val="TableContents"/>
              <w:bidi w:val="0"/>
              <w:spacing w:before="0" w:after="283"/>
              <w:jc w:val="left"/>
              <w:rPr/>
            </w:pPr>
            <w:r>
              <w:rPr/>
              <w:t>Tax credit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-3.87</w:t>
            </w:r>
          </w:p>
        </w:tc>
        <w:tc>
          <w:tcPr>
            <w:tcW w:w="230" w:type="dxa"/>
            <w:tcBorders/>
            <w:shd w:fill="CCEEFF" w:val="clear"/>
            <w:vAlign w:val="center"/>
          </w:tcPr>
          <w:p>
            <w:pPr>
              <w:pStyle w:val="TableContents"/>
              <w:bidi w:val="0"/>
              <w:spacing w:before="0" w:after="283"/>
              <w:jc w:val="left"/>
              <w:rPr/>
            </w:pPr>
            <w:r>
              <w:rPr/>
              <w:t>%</w:t>
            </w:r>
            <w:bookmarkStart w:id="1278" w:name="xdx_409_eus-gaap--EffectiveIncomeTaxRate"/>
            <w:bookmarkEnd w:id="1278"/>
          </w:p>
        </w:tc>
      </w:tr>
      <w:tr>
        <w:trPr/>
        <w:tc>
          <w:tcPr>
            <w:tcW w:w="4250" w:type="dxa"/>
            <w:tcBorders/>
            <w:shd w:fill="FFFFFF" w:val="clear"/>
            <w:vAlign w:val="center"/>
          </w:tcPr>
          <w:p>
            <w:pPr>
              <w:pStyle w:val="TableContents"/>
              <w:bidi w:val="0"/>
              <w:spacing w:before="0" w:after="283"/>
              <w:jc w:val="left"/>
              <w:rPr/>
            </w:pPr>
            <w:r>
              <w:rPr/>
              <w:t>Change in FV of warrant liability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812" w:type="dxa"/>
            <w:tcBorders/>
            <w:shd w:fill="FFFFFF" w:val="clear"/>
            <w:vAlign w:val="center"/>
          </w:tcPr>
          <w:p>
            <w:pPr>
              <w:pStyle w:val="TableContents"/>
              <w:bidi w:val="0"/>
              <w:spacing w:before="0" w:after="283"/>
              <w:jc w:val="right"/>
              <w:rPr/>
            </w:pPr>
            <w:r>
              <w:rPr/>
              <w:t>1.42</w:t>
            </w:r>
          </w:p>
        </w:tc>
        <w:tc>
          <w:tcPr>
            <w:tcW w:w="230" w:type="dxa"/>
            <w:tcBorders/>
            <w:shd w:fill="FFFFFF" w:val="clear"/>
            <w:vAlign w:val="center"/>
          </w:tcPr>
          <w:p>
            <w:pPr>
              <w:pStyle w:val="TableContents"/>
              <w:bidi w:val="0"/>
              <w:spacing w:before="0" w:after="283"/>
              <w:jc w:val="left"/>
              <w:rPr/>
            </w:pPr>
            <w:r>
              <w:rPr/>
              <w:t>%</w:t>
            </w:r>
            <w:bookmarkStart w:id="1279" w:name="xdx_402_ecustom--EffectiveIncomeTaxRateR"/>
            <w:bookmarkEnd w:id="1279"/>
          </w:p>
        </w:tc>
      </w:tr>
      <w:tr>
        <w:trPr/>
        <w:tc>
          <w:tcPr>
            <w:tcW w:w="4250" w:type="dxa"/>
            <w:tcBorders/>
            <w:shd w:fill="CCEEFF" w:val="clear"/>
            <w:vAlign w:val="center"/>
          </w:tcPr>
          <w:p>
            <w:pPr>
              <w:pStyle w:val="TableContents"/>
              <w:bidi w:val="0"/>
              <w:spacing w:before="0" w:after="283"/>
              <w:jc w:val="left"/>
              <w:rPr/>
            </w:pPr>
            <w:r>
              <w:rPr/>
              <w:t>Tax impact of convertible debenture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-4.18</w:t>
            </w:r>
          </w:p>
        </w:tc>
        <w:tc>
          <w:tcPr>
            <w:tcW w:w="230" w:type="dxa"/>
            <w:tcBorders/>
            <w:shd w:fill="CCEEFF" w:val="clear"/>
            <w:vAlign w:val="center"/>
          </w:tcPr>
          <w:p>
            <w:pPr>
              <w:pStyle w:val="TableContents"/>
              <w:bidi w:val="0"/>
              <w:spacing w:before="0" w:after="283"/>
              <w:jc w:val="left"/>
              <w:rPr/>
            </w:pPr>
            <w:r>
              <w:rPr/>
              <w:t>%</w:t>
            </w:r>
            <w:bookmarkStart w:id="1280" w:name="xdx_405_ecustom--EffectiveIncomeTaxRateR"/>
            <w:bookmarkEnd w:id="1280"/>
          </w:p>
        </w:tc>
      </w:tr>
      <w:tr>
        <w:trPr/>
        <w:tc>
          <w:tcPr>
            <w:tcW w:w="4250" w:type="dxa"/>
            <w:tcBorders/>
            <w:shd w:fill="FFFFFF" w:val="clear"/>
            <w:vAlign w:val="center"/>
          </w:tcPr>
          <w:p>
            <w:pPr>
              <w:pStyle w:val="TableContents"/>
              <w:bidi w:val="0"/>
              <w:spacing w:before="0" w:after="283"/>
              <w:jc w:val="left"/>
              <w:rPr/>
            </w:pPr>
            <w:r>
              <w:rPr/>
              <w:t>Tax impact of divestiture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812"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bookmarkStart w:id="1281" w:name="xdx_401_ecustom--EffectiveIncomeTaxRateR"/>
            <w:bookmarkEnd w:id="1281"/>
          </w:p>
        </w:tc>
      </w:tr>
      <w:tr>
        <w:trPr/>
        <w:tc>
          <w:tcPr>
            <w:tcW w:w="4250" w:type="dxa"/>
            <w:tcBorders/>
            <w:shd w:fill="CCEEFF" w:val="clear"/>
            <w:vAlign w:val="center"/>
          </w:tcPr>
          <w:p>
            <w:pPr>
              <w:pStyle w:val="TableContents"/>
              <w:bidi w:val="0"/>
              <w:spacing w:before="0" w:after="283"/>
              <w:jc w:val="left"/>
              <w:rPr/>
            </w:pPr>
            <w:r>
              <w:rPr/>
              <w:t>Tax impact of section 382 attribute forfeiture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-202.84</w:t>
            </w:r>
          </w:p>
        </w:tc>
        <w:tc>
          <w:tcPr>
            <w:tcW w:w="230" w:type="dxa"/>
            <w:tcBorders/>
            <w:shd w:fill="CCEEFF" w:val="clear"/>
            <w:vAlign w:val="center"/>
          </w:tcPr>
          <w:p>
            <w:pPr>
              <w:pStyle w:val="TableContents"/>
              <w:bidi w:val="0"/>
              <w:spacing w:before="0" w:after="283"/>
              <w:jc w:val="left"/>
              <w:rPr/>
            </w:pPr>
            <w:r>
              <w:rPr/>
              <w:t>%</w:t>
            </w:r>
            <w:bookmarkStart w:id="1282" w:name="xdx_407_eus-gaap--EffectiveIncomeTaxRate"/>
            <w:bookmarkEnd w:id="1282"/>
          </w:p>
        </w:tc>
      </w:tr>
      <w:tr>
        <w:trPr/>
        <w:tc>
          <w:tcPr>
            <w:tcW w:w="425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812" w:type="dxa"/>
            <w:tcBorders/>
            <w:shd w:fill="FFFFFF" w:val="clear"/>
            <w:vAlign w:val="center"/>
          </w:tcPr>
          <w:p>
            <w:pPr>
              <w:pStyle w:val="TableContents"/>
              <w:bidi w:val="0"/>
              <w:spacing w:before="0" w:after="283"/>
              <w:jc w:val="right"/>
              <w:rPr/>
            </w:pPr>
            <w:r>
              <w:rPr/>
              <w:t>-53.37</w:t>
            </w:r>
          </w:p>
        </w:tc>
        <w:tc>
          <w:tcPr>
            <w:tcW w:w="230" w:type="dxa"/>
            <w:tcBorders/>
            <w:shd w:fill="FFFFFF" w:val="clear"/>
            <w:vAlign w:val="center"/>
          </w:tcPr>
          <w:p>
            <w:pPr>
              <w:pStyle w:val="TableContents"/>
              <w:bidi w:val="0"/>
              <w:spacing w:before="0" w:after="283"/>
              <w:jc w:val="left"/>
              <w:rPr/>
            </w:pPr>
            <w:r>
              <w:rPr/>
              <w:t>%</w:t>
            </w:r>
            <w:bookmarkStart w:id="1283" w:name="xdx_40E_ecustom--EffectiveIncomeTaxRateR"/>
            <w:bookmarkEnd w:id="1283"/>
          </w:p>
        </w:tc>
      </w:tr>
      <w:tr>
        <w:trPr/>
        <w:tc>
          <w:tcPr>
            <w:tcW w:w="4250" w:type="dxa"/>
            <w:tcBorders/>
            <w:shd w:fill="CCEEFF" w:val="clear"/>
            <w:vAlign w:val="center"/>
          </w:tcPr>
          <w:p>
            <w:pPr>
              <w:pStyle w:val="TableContents"/>
              <w:bidi w:val="0"/>
              <w:spacing w:before="0" w:after="283"/>
              <w:jc w:val="left"/>
              <w:rPr/>
            </w:pPr>
            <w:r>
              <w:rPr/>
              <w:t>True-up</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-2.87</w:t>
            </w:r>
          </w:p>
        </w:tc>
        <w:tc>
          <w:tcPr>
            <w:tcW w:w="230" w:type="dxa"/>
            <w:tcBorders/>
            <w:shd w:fill="CCEEFF" w:val="clear"/>
            <w:vAlign w:val="center"/>
          </w:tcPr>
          <w:p>
            <w:pPr>
              <w:pStyle w:val="TableContents"/>
              <w:bidi w:val="0"/>
              <w:spacing w:before="0" w:after="283"/>
              <w:jc w:val="left"/>
              <w:rPr/>
            </w:pPr>
            <w:r>
              <w:rPr/>
              <w:t>%</w:t>
            </w:r>
            <w:bookmarkStart w:id="1284" w:name="xdx_40A_eus-gaap--EffectiveIncomeTaxRate"/>
            <w:bookmarkEnd w:id="1284"/>
          </w:p>
        </w:tc>
      </w:tr>
      <w:tr>
        <w:trPr/>
        <w:tc>
          <w:tcPr>
            <w:tcW w:w="42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2" w:type="dxa"/>
            <w:tcBorders>
              <w:bottom w:val="single" w:sz="8" w:space="0" w:color="000000"/>
            </w:tcBorders>
            <w:shd w:fill="FFFFFF" w:val="clear"/>
            <w:tcMar>
              <w:bottom w:w="28" w:type="dxa"/>
            </w:tcMar>
            <w:vAlign w:val="center"/>
          </w:tcPr>
          <w:p>
            <w:pPr>
              <w:pStyle w:val="TableContents"/>
              <w:bidi w:val="0"/>
              <w:spacing w:before="0" w:after="283"/>
              <w:jc w:val="right"/>
              <w:rPr/>
            </w:pPr>
            <w:r>
              <w:rPr/>
              <w:t>238.69</w:t>
            </w:r>
          </w:p>
        </w:tc>
        <w:tc>
          <w:tcPr>
            <w:tcW w:w="230" w:type="dxa"/>
            <w:tcBorders/>
            <w:shd w:fill="FFFFFF" w:val="clear"/>
            <w:vAlign w:val="center"/>
          </w:tcPr>
          <w:p>
            <w:pPr>
              <w:pStyle w:val="TableContents"/>
              <w:bidi w:val="0"/>
              <w:spacing w:before="0" w:after="283"/>
              <w:jc w:val="left"/>
              <w:rPr/>
            </w:pPr>
            <w:r>
              <w:rPr/>
              <w:t>%</w:t>
            </w:r>
            <w:bookmarkStart w:id="1285" w:name="xdx_409_eus-gaap--EffectiveIncomeTaxRate"/>
            <w:bookmarkEnd w:id="1285"/>
          </w:p>
        </w:tc>
      </w:tr>
      <w:tr>
        <w:trPr/>
        <w:tc>
          <w:tcPr>
            <w:tcW w:w="4250" w:type="dxa"/>
            <w:tcBorders/>
            <w:shd w:fill="CCEEFF" w:val="clear"/>
            <w:vAlign w:val="center"/>
          </w:tcPr>
          <w:p>
            <w:pPr>
              <w:pStyle w:val="TableContents"/>
              <w:bidi w:val="0"/>
              <w:spacing w:before="0" w:after="283"/>
              <w:jc w:val="left"/>
              <w:rPr/>
            </w:pPr>
            <w:r>
              <w:rPr/>
              <w:t>Income taxes provision (benefit)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12"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286" w:name="xdx_8AF_zejxUjEBx7l2"/>
      <w:bookmarkEnd w:id="12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includes the following:</w:t>
      </w:r>
    </w:p>
    <w:p>
      <w:pPr>
        <w:pStyle w:val="TextBody"/>
        <w:bidi w:val="0"/>
        <w:spacing w:before="0" w:after="0"/>
        <w:ind w:left="0" w:right="0" w:hanging="0"/>
        <w:jc w:val="both"/>
        <w:rPr>
          <w:caps w:val="false"/>
          <w:smallCaps w:val="false"/>
        </w:rPr>
      </w:pPr>
      <w:bookmarkStart w:id="1287" w:name="xdx_896_eus-gaap--ScheduleOfComponentsOf"/>
      <w:bookmarkEnd w:id="1287"/>
      <w:r>
        <w:rPr>
          <w:caps w:val="false"/>
          <w:smallCaps w:val="false"/>
        </w:rPr>
        <w:t> </w:t>
      </w:r>
      <w:bookmarkStart w:id="1288" w:name="xdx_8B9_zbm57Opn2UGe"/>
      <w:bookmarkEnd w:id="1288"/>
      <w:r>
        <w:rPr>
          <w:rFonts w:ascii="Times New Roman;Times;Serif" w:hAnsi="Times New Roman;Times;Serif"/>
          <w:b w:val="false"/>
          <w:i w:val="false"/>
          <w:caps w:val="false"/>
          <w:smallCaps w:val="false"/>
          <w:sz w:val="20"/>
        </w:rPr>
        <w:t>SCHEDULE OF PROVISION FOR INCOME TAXES</w:t>
      </w:r>
    </w:p>
    <w:tbl>
      <w:tblPr>
        <w:tblW w:w="7328" w:type="dxa"/>
        <w:jc w:val="left"/>
        <w:tblInd w:w="0" w:type="dxa"/>
        <w:tblLayout w:type="fixed"/>
        <w:tblCellMar>
          <w:top w:w="0" w:type="dxa"/>
          <w:left w:w="0" w:type="dxa"/>
          <w:bottom w:w="0" w:type="dxa"/>
          <w:right w:w="0" w:type="dxa"/>
        </w:tblCellMar>
      </w:tblPr>
      <w:tblGrid>
        <w:gridCol w:w="3095"/>
        <w:gridCol w:w="60"/>
        <w:gridCol w:w="268"/>
        <w:gridCol w:w="1686"/>
        <w:gridCol w:w="95"/>
        <w:gridCol w:w="60"/>
        <w:gridCol w:w="208"/>
        <w:gridCol w:w="1746"/>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9" w:name="xdx_49E_20250101__20251231_zd4uwLyYxX57"/>
            <w:bookmarkEnd w:id="1289"/>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0" w:name="xdx_49D_20240101__20241231_zrT4BhjSqoBf"/>
            <w:bookmarkEnd w:id="1290"/>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91" w:name="xdx_403_eus-gaap--CurrentFederalTaxExpen"/>
            <w:bookmarkEnd w:id="1291"/>
          </w:p>
        </w:tc>
      </w:tr>
      <w:tr>
        <w:trPr/>
        <w:tc>
          <w:tcPr>
            <w:tcW w:w="3095" w:type="dxa"/>
            <w:tcBorders/>
            <w:shd w:fill="FFFFFF" w:val="clear"/>
            <w:vAlign w:val="center"/>
          </w:tcPr>
          <w:p>
            <w:pPr>
              <w:pStyle w:val="TableContents"/>
              <w:bidi w:val="0"/>
              <w:spacing w:before="0" w:after="283"/>
              <w:jc w:val="left"/>
              <w:rPr/>
            </w:pPr>
            <w:r>
              <w:rPr/>
              <w:t>US Federal</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6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92" w:name="xdx_400_eus-gaap--CurrentStateAndLocalTa"/>
            <w:bookmarkEnd w:id="1292"/>
          </w:p>
        </w:tc>
      </w:tr>
      <w:tr>
        <w:trPr/>
        <w:tc>
          <w:tcPr>
            <w:tcW w:w="3095" w:type="dxa"/>
            <w:tcBorders/>
            <w:shd w:fill="CCEEFF" w:val="clear"/>
            <w:vAlign w:val="center"/>
          </w:tcPr>
          <w:p>
            <w:pPr>
              <w:pStyle w:val="TableContents"/>
              <w:bidi w:val="0"/>
              <w:spacing w:before="0" w:after="283"/>
              <w:jc w:val="left"/>
              <w:rPr/>
            </w:pPr>
            <w:r>
              <w:rPr/>
              <w:t>US State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6,334</w:t>
            </w:r>
          </w:p>
        </w:tc>
        <w:tc>
          <w:tcPr>
            <w:tcW w:w="110" w:type="dxa"/>
            <w:tcBorders/>
            <w:shd w:fill="CCEEFF" w:val="clear"/>
            <w:vAlign w:val="center"/>
          </w:tcPr>
          <w:p>
            <w:pPr>
              <w:pStyle w:val="TableContents"/>
              <w:bidi w:val="0"/>
              <w:spacing w:before="0" w:after="283"/>
              <w:jc w:val="left"/>
              <w:rPr/>
            </w:pPr>
            <w:r>
              <w:rPr/>
              <w:t> </w:t>
            </w:r>
            <w:bookmarkStart w:id="1293" w:name="xdx_409_eus-gaap--CurrentForeignTaxExpen"/>
            <w:bookmarkEnd w:id="1293"/>
          </w:p>
        </w:tc>
      </w:tr>
      <w:tr>
        <w:trPr/>
        <w:tc>
          <w:tcPr>
            <w:tcW w:w="3095" w:type="dxa"/>
            <w:tcBorders/>
            <w:shd w:fill="FFFFFF" w:val="clear"/>
            <w:vAlign w:val="center"/>
          </w:tcPr>
          <w:p>
            <w:pPr>
              <w:pStyle w:val="TableContents"/>
              <w:bidi w:val="0"/>
              <w:spacing w:before="0" w:after="283"/>
              <w:jc w:val="left"/>
              <w:rPr/>
            </w:pPr>
            <w:r>
              <w:rPr/>
              <w:t>US Foreign</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94" w:name="xdx_40D_eus-gaap--CurrentIncomeTaxExpens"/>
            <w:bookmarkEnd w:id="1294"/>
          </w:p>
        </w:tc>
      </w:tr>
      <w:tr>
        <w:trPr/>
        <w:tc>
          <w:tcPr>
            <w:tcW w:w="3095" w:type="dxa"/>
            <w:tcBorders/>
            <w:shd w:fill="CCEEFF" w:val="clear"/>
            <w:vAlign w:val="center"/>
          </w:tcPr>
          <w:p>
            <w:pPr>
              <w:pStyle w:val="TableContents"/>
              <w:bidi w:val="0"/>
              <w:spacing w:before="0" w:after="283"/>
              <w:jc w:val="left"/>
              <w:rPr/>
            </w:pPr>
            <w:r>
              <w:rPr/>
              <w:t>Total current provision</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6,334</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95" w:name="xdx_40A_eus-gaap--DeferredFederalIncomeT"/>
            <w:bookmarkEnd w:id="1295"/>
          </w:p>
        </w:tc>
      </w:tr>
      <w:tr>
        <w:trPr/>
        <w:tc>
          <w:tcPr>
            <w:tcW w:w="3095" w:type="dxa"/>
            <w:tcBorders/>
            <w:shd w:fill="CCEEFF" w:val="clear"/>
            <w:vAlign w:val="center"/>
          </w:tcPr>
          <w:p>
            <w:pPr>
              <w:pStyle w:val="TableContents"/>
              <w:bidi w:val="0"/>
              <w:spacing w:before="0" w:after="283"/>
              <w:jc w:val="left"/>
              <w:rPr/>
            </w:pPr>
            <w:r>
              <w:rPr/>
              <w:t>US Federal</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(589,000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6,069,000</w:t>
            </w:r>
          </w:p>
        </w:tc>
        <w:tc>
          <w:tcPr>
            <w:tcW w:w="110" w:type="dxa"/>
            <w:tcBorders/>
            <w:shd w:fill="CCEEFF" w:val="clear"/>
            <w:vAlign w:val="center"/>
          </w:tcPr>
          <w:p>
            <w:pPr>
              <w:pStyle w:val="TableContents"/>
              <w:bidi w:val="0"/>
              <w:spacing w:before="0" w:after="283"/>
              <w:jc w:val="left"/>
              <w:rPr/>
            </w:pPr>
            <w:r>
              <w:rPr/>
              <w:t> </w:t>
            </w:r>
            <w:bookmarkStart w:id="1296" w:name="xdx_402_eus-gaap--DeferredStateAndLocalI"/>
            <w:bookmarkEnd w:id="1296"/>
          </w:p>
        </w:tc>
      </w:tr>
      <w:tr>
        <w:trPr/>
        <w:tc>
          <w:tcPr>
            <w:tcW w:w="3095" w:type="dxa"/>
            <w:tcBorders/>
            <w:shd w:fill="FFFFFF" w:val="clear"/>
            <w:vAlign w:val="center"/>
          </w:tcPr>
          <w:p>
            <w:pPr>
              <w:pStyle w:val="TableContents"/>
              <w:bidi w:val="0"/>
              <w:spacing w:before="0" w:after="283"/>
              <w:jc w:val="left"/>
              <w:rPr/>
            </w:pPr>
            <w:r>
              <w:rPr/>
              <w:t>US State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(315,000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8,617,000</w:t>
            </w:r>
          </w:p>
        </w:tc>
        <w:tc>
          <w:tcPr>
            <w:tcW w:w="110" w:type="dxa"/>
            <w:tcBorders/>
            <w:shd w:fill="FFFFFF" w:val="clear"/>
            <w:vAlign w:val="center"/>
          </w:tcPr>
          <w:p>
            <w:pPr>
              <w:pStyle w:val="TableContents"/>
              <w:bidi w:val="0"/>
              <w:spacing w:before="0" w:after="283"/>
              <w:jc w:val="left"/>
              <w:rPr/>
            </w:pPr>
            <w:r>
              <w:rPr/>
              <w:t> </w:t>
            </w:r>
            <w:bookmarkStart w:id="1297" w:name="xdx_408_eus-gaap--DeferredForeignIncomeT"/>
            <w:bookmarkEnd w:id="1297"/>
          </w:p>
        </w:tc>
      </w:tr>
      <w:tr>
        <w:trPr/>
        <w:tc>
          <w:tcPr>
            <w:tcW w:w="3095" w:type="dxa"/>
            <w:tcBorders/>
            <w:shd w:fill="CCEEFF" w:val="clear"/>
            <w:vAlign w:val="center"/>
          </w:tcPr>
          <w:p>
            <w:pPr>
              <w:pStyle w:val="TableContents"/>
              <w:bidi w:val="0"/>
              <w:spacing w:before="0" w:after="283"/>
              <w:jc w:val="left"/>
              <w:rPr/>
            </w:pPr>
            <w:r>
              <w:rPr/>
              <w:t>US Foreign</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98" w:name="xdx_401_eus-gaap--DeferredIncomeTaxExpen"/>
            <w:bookmarkEnd w:id="1298"/>
          </w:p>
        </w:tc>
      </w:tr>
      <w:tr>
        <w:trPr/>
        <w:tc>
          <w:tcPr>
            <w:tcW w:w="3095" w:type="dxa"/>
            <w:tcBorders/>
            <w:shd w:fill="FFFFFF" w:val="clear"/>
            <w:vAlign w:val="center"/>
          </w:tcPr>
          <w:p>
            <w:pPr>
              <w:pStyle w:val="TableContents"/>
              <w:bidi w:val="0"/>
              <w:spacing w:before="0" w:after="283"/>
              <w:jc w:val="left"/>
              <w:rPr/>
            </w:pPr>
            <w:r>
              <w:rPr/>
              <w:t>Total deferred benefit</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(904,000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14,686,000</w:t>
            </w:r>
          </w:p>
        </w:tc>
        <w:tc>
          <w:tcPr>
            <w:tcW w:w="110" w:type="dxa"/>
            <w:tcBorders/>
            <w:shd w:fill="FFFFFF" w:val="clear"/>
            <w:vAlign w:val="center"/>
          </w:tcPr>
          <w:p>
            <w:pPr>
              <w:pStyle w:val="TableContents"/>
              <w:bidi w:val="0"/>
              <w:spacing w:before="0" w:after="283"/>
              <w:jc w:val="left"/>
              <w:rPr/>
            </w:pPr>
            <w:r>
              <w:rPr/>
              <w:t> </w:t>
            </w:r>
            <w:bookmarkStart w:id="1299" w:name="xdx_40E_eus-gaap--ValuationAllowanceDefe"/>
            <w:bookmarkEnd w:id="1299"/>
          </w:p>
        </w:tc>
      </w:tr>
      <w:tr>
        <w:trPr/>
        <w:tc>
          <w:tcPr>
            <w:tcW w:w="309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904,000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pPr>
            <w:r>
              <w:rPr/>
              <w:t>(14,686,000</w:t>
            </w:r>
          </w:p>
        </w:tc>
        <w:tc>
          <w:tcPr>
            <w:tcW w:w="110" w:type="dxa"/>
            <w:tcBorders/>
            <w:shd w:fill="CCEEFF" w:val="clear"/>
            <w:vAlign w:val="center"/>
          </w:tcPr>
          <w:p>
            <w:pPr>
              <w:pStyle w:val="TableContents"/>
              <w:bidi w:val="0"/>
              <w:spacing w:before="0" w:after="283"/>
              <w:jc w:val="left"/>
              <w:rPr/>
            </w:pPr>
            <w:r>
              <w:rPr/>
              <w:t>)</w:t>
            </w:r>
            <w:bookmarkStart w:id="1300" w:name="xdx_400_eus-gaap--IncomeTaxExpenseBenefi"/>
            <w:bookmarkEnd w:id="1300"/>
          </w:p>
        </w:tc>
      </w:tr>
      <w:tr>
        <w:trPr/>
        <w:tc>
          <w:tcPr>
            <w:tcW w:w="3095" w:type="dxa"/>
            <w:tcBorders/>
            <w:shd w:fill="FFFFFF" w:val="clear"/>
            <w:vAlign w:val="center"/>
          </w:tcPr>
          <w:p>
            <w:pPr>
              <w:pStyle w:val="TableContents"/>
              <w:bidi w:val="0"/>
              <w:spacing w:before="0" w:after="283"/>
              <w:jc w:val="left"/>
              <w:rPr/>
            </w:pPr>
            <w:r>
              <w:rPr/>
              <w:t>Total provision for income taxes</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pPr>
            <w:r>
              <w:rPr/>
              <w:t>6,334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deferred tax assets and liabilities are as follows:</w:t>
      </w:r>
    </w:p>
    <w:p>
      <w:pPr>
        <w:pStyle w:val="TextBody"/>
        <w:bidi w:val="0"/>
        <w:spacing w:before="0" w:after="0"/>
        <w:ind w:left="0" w:right="0" w:hanging="0"/>
        <w:jc w:val="left"/>
        <w:rPr>
          <w:caps w:val="false"/>
          <w:smallCaps w:val="false"/>
        </w:rPr>
      </w:pPr>
      <w:bookmarkStart w:id="1301" w:name="xdx_899_eus-gaap--ScheduleOfDeferredTaxA"/>
      <w:bookmarkEnd w:id="1301"/>
      <w:r>
        <w:rPr>
          <w:caps w:val="false"/>
          <w:smallCaps w:val="false"/>
        </w:rPr>
        <w:t> </w:t>
      </w:r>
      <w:bookmarkStart w:id="1302" w:name="xdx_8B4_ztd9LQA83Wf"/>
      <w:bookmarkEnd w:id="1302"/>
      <w:r>
        <w:rPr>
          <w:rFonts w:ascii="Times New Roman;Times;Serif" w:hAnsi="Times New Roman;Times;Serif"/>
          <w:b w:val="false"/>
          <w:i w:val="false"/>
          <w:caps w:val="false"/>
          <w:smallCaps w:val="false"/>
          <w:sz w:val="20"/>
        </w:rPr>
        <w:t>SCHEDULE OF DEFERRED TAX ASSETS AND LIABILITIES</w:t>
      </w:r>
    </w:p>
    <w:tbl>
      <w:tblPr>
        <w:tblW w:w="7988" w:type="dxa"/>
        <w:jc w:val="left"/>
        <w:tblInd w:w="0" w:type="dxa"/>
        <w:tblLayout w:type="fixed"/>
        <w:tblCellMar>
          <w:top w:w="0" w:type="dxa"/>
          <w:left w:w="0" w:type="dxa"/>
          <w:bottom w:w="0" w:type="dxa"/>
          <w:right w:w="0" w:type="dxa"/>
        </w:tblCellMar>
      </w:tblPr>
      <w:tblGrid>
        <w:gridCol w:w="3755"/>
        <w:gridCol w:w="60"/>
        <w:gridCol w:w="229"/>
        <w:gridCol w:w="1725"/>
        <w:gridCol w:w="95"/>
        <w:gridCol w:w="60"/>
        <w:gridCol w:w="229"/>
        <w:gridCol w:w="1725"/>
        <w:gridCol w:w="11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3" w:name="xdx_49A_20251231_zN48keMarRSg"/>
            <w:bookmarkEnd w:id="130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4" w:name="xdx_49F_20241231_zmNC17E1UyQc"/>
            <w:bookmarkEnd w:id="1304"/>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1305" w:name="xdx_405_eus-gaap--DeferredTaxAssetsNetAb"/>
            <w:bookmarkEnd w:id="1305"/>
          </w:p>
        </w:tc>
      </w:tr>
      <w:tr>
        <w:trPr/>
        <w:tc>
          <w:tcPr>
            <w:tcW w:w="3755"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06" w:name="xdx_404_eus-gaap--DeferredTaxAssetsOpera"/>
            <w:bookmarkEnd w:id="1306"/>
          </w:p>
        </w:tc>
      </w:tr>
      <w:tr>
        <w:trPr/>
        <w:tc>
          <w:tcPr>
            <w:tcW w:w="3755" w:type="dxa"/>
            <w:tcBorders/>
            <w:shd w:fill="FFFFFF" w:val="clear"/>
            <w:vAlign w:val="center"/>
          </w:tcPr>
          <w:p>
            <w:pPr>
              <w:pStyle w:val="TableContents"/>
              <w:bidi w:val="0"/>
              <w:spacing w:before="0" w:after="283"/>
              <w:jc w:val="left"/>
              <w:rPr/>
            </w:pPr>
            <w:r>
              <w:rPr/>
              <w:t>Net operating loss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25" w:type="dxa"/>
            <w:tcBorders/>
            <w:shd w:fill="FFFFFF" w:val="clear"/>
            <w:vAlign w:val="center"/>
          </w:tcPr>
          <w:p>
            <w:pPr>
              <w:pStyle w:val="TableContents"/>
              <w:bidi w:val="0"/>
              <w:spacing w:before="0" w:after="283"/>
              <w:jc w:val="right"/>
              <w:rPr/>
            </w:pPr>
            <w:r>
              <w:rPr/>
              <w:t>1,234,000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25" w:type="dxa"/>
            <w:tcBorders/>
            <w:shd w:fill="FFFFFF" w:val="clear"/>
            <w:vAlign w:val="center"/>
          </w:tcPr>
          <w:p>
            <w:pPr>
              <w:pStyle w:val="TableContents"/>
              <w:bidi w:val="0"/>
              <w:spacing w:before="0" w:after="283"/>
              <w:jc w:val="right"/>
              <w:rPr/>
            </w:pPr>
            <w:r>
              <w:rPr/>
              <w:t>1,626,000</w:t>
            </w:r>
          </w:p>
        </w:tc>
        <w:tc>
          <w:tcPr>
            <w:tcW w:w="110" w:type="dxa"/>
            <w:tcBorders/>
            <w:shd w:fill="FFFFFF" w:val="clear"/>
            <w:vAlign w:val="center"/>
          </w:tcPr>
          <w:p>
            <w:pPr>
              <w:pStyle w:val="TableContents"/>
              <w:bidi w:val="0"/>
              <w:spacing w:before="0" w:after="283"/>
              <w:jc w:val="left"/>
              <w:rPr/>
            </w:pPr>
            <w:r>
              <w:rPr/>
              <w:t> </w:t>
            </w:r>
            <w:bookmarkStart w:id="1307" w:name="xdx_405_eus-gaap--DeferredTaxAssetsTaxCr"/>
            <w:bookmarkEnd w:id="1307"/>
          </w:p>
        </w:tc>
      </w:tr>
      <w:tr>
        <w:trPr/>
        <w:tc>
          <w:tcPr>
            <w:tcW w:w="3755" w:type="dxa"/>
            <w:tcBorders/>
            <w:shd w:fill="CCEEFF" w:val="clear"/>
            <w:vAlign w:val="center"/>
          </w:tcPr>
          <w:p>
            <w:pPr>
              <w:pStyle w:val="TableContents"/>
              <w:bidi w:val="0"/>
              <w:spacing w:before="0" w:after="283"/>
              <w:jc w:val="left"/>
              <w:rPr/>
            </w:pPr>
            <w:r>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254,000</w:t>
            </w:r>
          </w:p>
        </w:tc>
        <w:tc>
          <w:tcPr>
            <w:tcW w:w="110" w:type="dxa"/>
            <w:tcBorders/>
            <w:shd w:fill="CCEEFF" w:val="clear"/>
            <w:vAlign w:val="center"/>
          </w:tcPr>
          <w:p>
            <w:pPr>
              <w:pStyle w:val="TableContents"/>
              <w:bidi w:val="0"/>
              <w:spacing w:before="0" w:after="283"/>
              <w:jc w:val="left"/>
              <w:rPr/>
            </w:pPr>
            <w:r>
              <w:rPr/>
              <w:t> </w:t>
            </w:r>
            <w:bookmarkStart w:id="1308" w:name="xdx_400_eus-gaap--DeferredTaxAssetsTaxDe"/>
            <w:bookmarkEnd w:id="1308"/>
          </w:p>
        </w:tc>
      </w:tr>
      <w:tr>
        <w:trPr/>
        <w:tc>
          <w:tcPr>
            <w:tcW w:w="375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13,000</w:t>
            </w:r>
          </w:p>
        </w:tc>
        <w:tc>
          <w:tcPr>
            <w:tcW w:w="110" w:type="dxa"/>
            <w:tcBorders/>
            <w:shd w:fill="FFFFFF" w:val="clear"/>
            <w:vAlign w:val="center"/>
          </w:tcPr>
          <w:p>
            <w:pPr>
              <w:pStyle w:val="TableContents"/>
              <w:bidi w:val="0"/>
              <w:spacing w:before="0" w:after="283"/>
              <w:jc w:val="left"/>
              <w:rPr/>
            </w:pPr>
            <w:r>
              <w:rPr/>
              <w:t> </w:t>
            </w:r>
            <w:bookmarkStart w:id="1309" w:name="xdx_40C_eus-gaap--DeferredTaxAssetsTaxDe"/>
            <w:bookmarkEnd w:id="1309"/>
          </w:p>
        </w:tc>
      </w:tr>
      <w:tr>
        <w:trPr/>
        <w:tc>
          <w:tcPr>
            <w:tcW w:w="3755"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145,000</w:t>
            </w:r>
          </w:p>
        </w:tc>
        <w:tc>
          <w:tcPr>
            <w:tcW w:w="110" w:type="dxa"/>
            <w:tcBorders/>
            <w:shd w:fill="CCEEFF" w:val="clear"/>
            <w:vAlign w:val="center"/>
          </w:tcPr>
          <w:p>
            <w:pPr>
              <w:pStyle w:val="TableContents"/>
              <w:bidi w:val="0"/>
              <w:spacing w:before="0" w:after="283"/>
              <w:jc w:val="left"/>
              <w:rPr/>
            </w:pPr>
            <w:r>
              <w:rPr/>
              <w:t> </w:t>
            </w:r>
            <w:bookmarkStart w:id="1310" w:name="xdx_401_eus-gaap--DeferredTaxAssetsUnrea"/>
            <w:bookmarkEnd w:id="1310"/>
          </w:p>
        </w:tc>
      </w:tr>
      <w:tr>
        <w:trPr/>
        <w:tc>
          <w:tcPr>
            <w:tcW w:w="3755" w:type="dxa"/>
            <w:tcBorders/>
            <w:shd w:fill="FFFFFF" w:val="clear"/>
            <w:vAlign w:val="center"/>
          </w:tcPr>
          <w:p>
            <w:pPr>
              <w:pStyle w:val="TableContents"/>
              <w:bidi w:val="0"/>
              <w:spacing w:before="0" w:after="283"/>
              <w:jc w:val="left"/>
              <w:rPr/>
            </w:pPr>
            <w:r>
              <w:rPr/>
              <w:t>Unrealized loss on digital assets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757,000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11" w:name="xdx_400_eus-gaap--DeferredTaxAssetsOther"/>
            <w:bookmarkEnd w:id="1311"/>
          </w:p>
        </w:tc>
      </w:tr>
      <w:tr>
        <w:trPr/>
        <w:tc>
          <w:tcPr>
            <w:tcW w:w="3755" w:type="dxa"/>
            <w:tcBorders/>
            <w:shd w:fill="CCEEFF" w:val="clear"/>
            <w:vAlign w:val="center"/>
          </w:tcPr>
          <w:p>
            <w:pPr>
              <w:pStyle w:val="TableContents"/>
              <w:bidi w:val="0"/>
              <w:spacing w:before="0" w:after="283"/>
              <w:jc w:val="left"/>
              <w:rPr/>
            </w:pPr>
            <w:r>
              <w:rPr/>
              <w:t>Provision for losses on notes receivable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1,275,000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jc w:val="left"/>
              <w:rPr/>
            </w:pPr>
            <w:r>
              <w:rPr/>
              <w:t> </w:t>
            </w:r>
            <w:bookmarkStart w:id="1312" w:name="xdx_404_eus-gaap--DeferredTaxAssetsInPro"/>
            <w:bookmarkEnd w:id="1312"/>
          </w:p>
        </w:tc>
      </w:tr>
      <w:tr>
        <w:trPr/>
        <w:tc>
          <w:tcPr>
            <w:tcW w:w="375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703,000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963,000</w:t>
            </w:r>
          </w:p>
        </w:tc>
        <w:tc>
          <w:tcPr>
            <w:tcW w:w="110" w:type="dxa"/>
            <w:tcBorders/>
            <w:shd w:fill="FFFFFF" w:val="clear"/>
            <w:vAlign w:val="center"/>
          </w:tcPr>
          <w:p>
            <w:pPr>
              <w:pStyle w:val="TableContents"/>
              <w:bidi w:val="0"/>
              <w:spacing w:before="0" w:after="283"/>
              <w:jc w:val="left"/>
              <w:rPr/>
            </w:pPr>
            <w:r>
              <w:rPr/>
              <w:t> </w:t>
            </w:r>
            <w:bookmarkStart w:id="1313" w:name="xdx_40C_eus-gaap--DeferredTaxAssetsGross"/>
            <w:bookmarkEnd w:id="1313"/>
          </w:p>
        </w:tc>
      </w:tr>
      <w:tr>
        <w:trPr/>
        <w:tc>
          <w:tcPr>
            <w:tcW w:w="3755" w:type="dxa"/>
            <w:tcBorders/>
            <w:shd w:fill="CCEEFF" w:val="clear"/>
            <w:vAlign w:val="center"/>
          </w:tcPr>
          <w:p>
            <w:pPr>
              <w:pStyle w:val="TableContents"/>
              <w:bidi w:val="0"/>
              <w:spacing w:before="0" w:after="283"/>
              <w:jc w:val="left"/>
              <w:rPr/>
            </w:pPr>
            <w:r>
              <w:rPr/>
              <w:t>Total deferred income tax assets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4,006,000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3,102,000</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4" w:name="xdx_401_eus-gaap--DeferredTaxAssetsGross"/>
            <w:bookmarkEnd w:id="1314"/>
          </w:p>
        </w:tc>
      </w:tr>
      <w:tr>
        <w:trPr/>
        <w:tc>
          <w:tcPr>
            <w:tcW w:w="3755" w:type="dxa"/>
            <w:tcBorders/>
            <w:shd w:fill="CCEEFF" w:val="clear"/>
            <w:vAlign w:val="center"/>
          </w:tcPr>
          <w:p>
            <w:pPr>
              <w:pStyle w:val="TableContents"/>
              <w:bidi w:val="0"/>
              <w:spacing w:before="0" w:after="283"/>
              <w:jc w:val="left"/>
              <w:rPr/>
            </w:pPr>
            <w:r>
              <w:rPr/>
              <w:t>Net deferred income tax assets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4,006,000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3,102,000</w:t>
            </w:r>
          </w:p>
        </w:tc>
        <w:tc>
          <w:tcPr>
            <w:tcW w:w="110" w:type="dxa"/>
            <w:tcBorders/>
            <w:shd w:fill="CCEEFF" w:val="clear"/>
            <w:vAlign w:val="center"/>
          </w:tcPr>
          <w:p>
            <w:pPr>
              <w:pStyle w:val="TableContents"/>
              <w:bidi w:val="0"/>
              <w:spacing w:before="0" w:after="283"/>
              <w:jc w:val="left"/>
              <w:rPr/>
            </w:pPr>
            <w:r>
              <w:rPr/>
              <w:t> </w:t>
            </w:r>
            <w:bookmarkStart w:id="1315" w:name="xdx_405_eus-gaap--DeferredTaxAssetsValua"/>
            <w:bookmarkEnd w:id="1315"/>
          </w:p>
        </w:tc>
      </w:tr>
      <w:tr>
        <w:trPr/>
        <w:tc>
          <w:tcPr>
            <w:tcW w:w="375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(4,006,000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(3,102,000</w:t>
            </w:r>
          </w:p>
        </w:tc>
        <w:tc>
          <w:tcPr>
            <w:tcW w:w="110" w:type="dxa"/>
            <w:tcBorders/>
            <w:shd w:fill="FFFFFF" w:val="clear"/>
            <w:vAlign w:val="center"/>
          </w:tcPr>
          <w:p>
            <w:pPr>
              <w:pStyle w:val="TableContents"/>
              <w:bidi w:val="0"/>
              <w:spacing w:before="0" w:after="283"/>
              <w:jc w:val="left"/>
              <w:rPr/>
            </w:pPr>
            <w:r>
              <w:rPr/>
              <w:t>)</w:t>
            </w:r>
            <w:bookmarkStart w:id="1316" w:name="xdx_402_eus-gaap--DeferredTaxAssetsNet_i"/>
            <w:bookmarkEnd w:id="1316"/>
          </w:p>
        </w:tc>
      </w:tr>
      <w:tr>
        <w:trPr/>
        <w:tc>
          <w:tcPr>
            <w:tcW w:w="3755" w:type="dxa"/>
            <w:tcBorders/>
            <w:shd w:fill="CCEEFF" w:val="clear"/>
            <w:vAlign w:val="center"/>
          </w:tcPr>
          <w:p>
            <w:pPr>
              <w:pStyle w:val="TableContents"/>
              <w:bidi w:val="0"/>
              <w:spacing w:before="0" w:after="283"/>
              <w:jc w:val="left"/>
              <w:rPr/>
            </w:pPr>
            <w:r>
              <w:rPr/>
              <w:t>Deferred tax asset, net of allowance</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the aggregate changes in our total gross amount of unrecognized tax benefits are summarized as follows:</w:t>
      </w:r>
    </w:p>
    <w:p>
      <w:pPr>
        <w:pStyle w:val="TextBody"/>
        <w:bidi w:val="0"/>
        <w:spacing w:before="0" w:after="0"/>
        <w:ind w:left="0" w:right="0" w:hanging="0"/>
        <w:jc w:val="both"/>
        <w:rPr>
          <w:caps w:val="false"/>
          <w:smallCaps w:val="false"/>
        </w:rPr>
      </w:pPr>
      <w:bookmarkStart w:id="1317" w:name="xdx_897_eus-gaap--ScheduleOfUnrecognized"/>
      <w:bookmarkEnd w:id="1317"/>
      <w:r>
        <w:rPr>
          <w:caps w:val="false"/>
          <w:smallCaps w:val="false"/>
        </w:rPr>
        <w:t> </w:t>
      </w:r>
      <w:bookmarkStart w:id="1318" w:name="xdx_8B1_zuXDcFngvEUk"/>
      <w:bookmarkEnd w:id="1318"/>
      <w:r>
        <w:rPr>
          <w:rFonts w:ascii="Times New Roman;Times;Serif" w:hAnsi="Times New Roman;Times;Serif"/>
          <w:b w:val="false"/>
          <w:i w:val="false"/>
          <w:caps w:val="false"/>
          <w:smallCaps w:val="false"/>
          <w:sz w:val="20"/>
        </w:rPr>
        <w:t>SCHEDULE OF UNRECOGNIZED TAX BENEFITS</w:t>
      </w:r>
    </w:p>
    <w:tbl>
      <w:tblPr>
        <w:tblW w:w="9903" w:type="dxa"/>
        <w:jc w:val="left"/>
        <w:tblInd w:w="0" w:type="dxa"/>
        <w:tblLayout w:type="fixed"/>
        <w:tblCellMar>
          <w:top w:w="0" w:type="dxa"/>
          <w:left w:w="0" w:type="dxa"/>
          <w:bottom w:w="0" w:type="dxa"/>
          <w:right w:w="0" w:type="dxa"/>
        </w:tblCellMar>
      </w:tblPr>
      <w:tblGrid>
        <w:gridCol w:w="5705"/>
        <w:gridCol w:w="60"/>
        <w:gridCol w:w="268"/>
        <w:gridCol w:w="1686"/>
        <w:gridCol w:w="95"/>
        <w:gridCol w:w="60"/>
        <w:gridCol w:w="290"/>
        <w:gridCol w:w="1664"/>
        <w:gridCol w:w="7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9" w:name="xdx_495_20250101__20251231_zPhGwbYMn1f6"/>
            <w:bookmarkEnd w:id="1319"/>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0" w:name="xdx_490_20240101__20241231_zytcziPaPSVc"/>
            <w:bookmarkEnd w:id="1320"/>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1321" w:name="xdx_40F_eus-gaap--UnrecognizedTaxBenefit"/>
            <w:bookmarkEnd w:id="1321"/>
          </w:p>
        </w:tc>
      </w:tr>
      <w:tr>
        <w:trPr/>
        <w:tc>
          <w:tcPr>
            <w:tcW w:w="5705" w:type="dxa"/>
            <w:tcBorders/>
            <w:shd w:fill="CCEEFF" w:val="clear"/>
            <w:vAlign w:val="center"/>
          </w:tcPr>
          <w:p>
            <w:pPr>
              <w:pStyle w:val="TableContents"/>
              <w:bidi w:val="0"/>
              <w:spacing w:before="0" w:after="283"/>
              <w:jc w:val="left"/>
              <w:rPr/>
            </w:pPr>
            <w:r>
              <w:rPr/>
              <w:t>Gross unrecognized tax benefits at the beginning of the year</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279,105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322" w:name="xdx_400_eus-gaap--UnrecognizedTaxBenefit"/>
            <w:bookmarkEnd w:id="1322"/>
          </w:p>
        </w:tc>
      </w:tr>
      <w:tr>
        <w:trPr/>
        <w:tc>
          <w:tcPr>
            <w:tcW w:w="5705" w:type="dxa"/>
            <w:tcBorders/>
            <w:shd w:fill="FFFFFF" w:val="clear"/>
            <w:vAlign w:val="center"/>
          </w:tcPr>
          <w:p>
            <w:pPr>
              <w:pStyle w:val="TableContents"/>
              <w:bidi w:val="0"/>
              <w:spacing w:before="0" w:after="283"/>
              <w:jc w:val="left"/>
              <w:rPr/>
            </w:pPr>
            <w:r>
              <w:rPr/>
              <w:t>Increases (decreases) related to current year positions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8,285</w:t>
            </w:r>
          </w:p>
        </w:tc>
        <w:tc>
          <w:tcPr>
            <w:tcW w:w="75" w:type="dxa"/>
            <w:tcBorders/>
            <w:shd w:fill="FFFFFF" w:val="clear"/>
            <w:vAlign w:val="center"/>
          </w:tcPr>
          <w:p>
            <w:pPr>
              <w:pStyle w:val="TableContents"/>
              <w:bidi w:val="0"/>
              <w:spacing w:before="0" w:after="283"/>
              <w:jc w:val="left"/>
              <w:rPr/>
            </w:pPr>
            <w:r>
              <w:rPr/>
              <w:t> </w:t>
            </w:r>
            <w:bookmarkStart w:id="1323" w:name="xdx_400_eus-gaap--UnrecognizedTaxBenefit"/>
            <w:bookmarkEnd w:id="1323"/>
          </w:p>
        </w:tc>
      </w:tr>
      <w:tr>
        <w:trPr/>
        <w:tc>
          <w:tcPr>
            <w:tcW w:w="5705" w:type="dxa"/>
            <w:tcBorders/>
            <w:shd w:fill="CCEEFF" w:val="clear"/>
            <w:vAlign w:val="center"/>
          </w:tcPr>
          <w:p>
            <w:pPr>
              <w:pStyle w:val="TableContents"/>
              <w:bidi w:val="0"/>
              <w:spacing w:before="0" w:after="283"/>
              <w:jc w:val="left"/>
              <w:rPr/>
            </w:pPr>
            <w:r>
              <w:rPr/>
              <w:t>Increases (decreases) related to prior year positions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(279,105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270,820</w:t>
            </w:r>
          </w:p>
        </w:tc>
        <w:tc>
          <w:tcPr>
            <w:tcW w:w="75" w:type="dxa"/>
            <w:tcBorders/>
            <w:shd w:fill="CCEEFF" w:val="clear"/>
            <w:vAlign w:val="center"/>
          </w:tcPr>
          <w:p>
            <w:pPr>
              <w:pStyle w:val="TableContents"/>
              <w:bidi w:val="0"/>
              <w:spacing w:before="0" w:after="283"/>
              <w:jc w:val="left"/>
              <w:rPr/>
            </w:pPr>
            <w:r>
              <w:rPr/>
              <w:t> </w:t>
            </w:r>
            <w:bookmarkStart w:id="1324" w:name="xdx_401_ecustom--ExpirationOfUnrecognize"/>
            <w:bookmarkEnd w:id="1324"/>
          </w:p>
        </w:tc>
      </w:tr>
      <w:tr>
        <w:trPr/>
        <w:tc>
          <w:tcPr>
            <w:tcW w:w="5705" w:type="dxa"/>
            <w:tcBorders/>
            <w:shd w:fill="FFFFFF" w:val="clear"/>
            <w:vAlign w:val="center"/>
          </w:tcPr>
          <w:p>
            <w:pPr>
              <w:pStyle w:val="TableContents"/>
              <w:bidi w:val="0"/>
              <w:spacing w:before="0" w:after="283"/>
              <w:jc w:val="left"/>
              <w:rPr/>
            </w:pPr>
            <w:r>
              <w:rPr/>
              <w:t>Expiration of unrecognized tax benefits</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325" w:name="xdx_40C_eus-gaap--UnrecognizedTaxBenefit"/>
            <w:bookmarkEnd w:id="1325"/>
          </w:p>
        </w:tc>
      </w:tr>
      <w:tr>
        <w:trPr/>
        <w:tc>
          <w:tcPr>
            <w:tcW w:w="5705" w:type="dxa"/>
            <w:tcBorders/>
            <w:shd w:fill="CCEEFF" w:val="clear"/>
            <w:vAlign w:val="center"/>
          </w:tcPr>
          <w:p>
            <w:pPr>
              <w:pStyle w:val="TableContents"/>
              <w:bidi w:val="0"/>
              <w:spacing w:before="0" w:after="283"/>
              <w:jc w:val="left"/>
              <w:rPr/>
            </w:pPr>
            <w:r>
              <w:rPr/>
              <w:t>Gross unrecognized tax benefits at the end of the year</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pPr>
            <w:r>
              <w:rPr/>
              <w:t>279,105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26" w:name="xdx_8A8_zrUqDESU2xra"/>
      <w:bookmarkEnd w:id="13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the updated requirements of ASU 2023-09 for cash paid for income taxes, net of refunds.</w:t>
      </w:r>
    </w:p>
    <w:p>
      <w:pPr>
        <w:pStyle w:val="TextBody"/>
        <w:bidi w:val="0"/>
        <w:spacing w:before="0" w:after="0"/>
        <w:ind w:left="0" w:right="0" w:hanging="0"/>
        <w:jc w:val="both"/>
        <w:rPr>
          <w:caps w:val="false"/>
          <w:smallCaps w:val="false"/>
        </w:rPr>
      </w:pPr>
      <w:bookmarkStart w:id="1327" w:name="xdx_897_ecustom--ScheduleOfIncomeTaxRefu"/>
      <w:bookmarkEnd w:id="1327"/>
      <w:r>
        <w:rPr>
          <w:caps w:val="false"/>
          <w:smallCaps w:val="false"/>
        </w:rPr>
        <w:t> </w:t>
      </w:r>
      <w:bookmarkStart w:id="1328" w:name="xdx_8B1_zCRyHrPUG4H5"/>
      <w:bookmarkEnd w:id="1328"/>
      <w:r>
        <w:rPr>
          <w:rFonts w:ascii="Times New Roman;Times;Serif" w:hAnsi="Times New Roman;Times;Serif"/>
          <w:b w:val="false"/>
          <w:i w:val="false"/>
          <w:caps w:val="false"/>
          <w:smallCaps w:val="false"/>
          <w:sz w:val="20"/>
        </w:rPr>
        <w:t>SCHEDULE OF INCOME TAX NET OF REFUNDS</w:t>
      </w:r>
    </w:p>
    <w:tbl>
      <w:tblPr>
        <w:tblW w:w="8684" w:type="dxa"/>
        <w:jc w:val="left"/>
        <w:tblInd w:w="0" w:type="dxa"/>
        <w:tblLayout w:type="fixed"/>
        <w:tblCellMar>
          <w:top w:w="0" w:type="dxa"/>
          <w:left w:w="0" w:type="dxa"/>
          <w:bottom w:w="0" w:type="dxa"/>
          <w:right w:w="0" w:type="dxa"/>
        </w:tblCellMar>
      </w:tblPr>
      <w:tblGrid>
        <w:gridCol w:w="4520"/>
        <w:gridCol w:w="60"/>
        <w:gridCol w:w="574"/>
        <w:gridCol w:w="1380"/>
        <w:gridCol w:w="60"/>
        <w:gridCol w:w="60"/>
        <w:gridCol w:w="391"/>
        <w:gridCol w:w="1564"/>
        <w:gridCol w:w="7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9" w:name="xdx_496_20250101__20251231_zpYh541v5iEb"/>
            <w:bookmarkEnd w:id="1329"/>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0" w:name="xdx_49C_20240101__20241231_zhCCyaVpjzm2"/>
            <w:bookmarkEnd w:id="1330"/>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331" w:name="xdx_404_eus-gaap--IncomeTaxPaidFederalAf"/>
            <w:bookmarkEnd w:id="1331"/>
          </w:p>
        </w:tc>
      </w:tr>
      <w:tr>
        <w:trPr/>
        <w:tc>
          <w:tcPr>
            <w:tcW w:w="452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w:t>
            </w:r>
          </w:p>
        </w:tc>
        <w:tc>
          <w:tcPr>
            <w:tcW w:w="13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332" w:name="xdx_404_eus-gaap--IncomeTaxPaidStateAndL"/>
            <w:bookmarkEnd w:id="1332"/>
          </w:p>
        </w:tc>
      </w:tr>
      <w:tr>
        <w:trPr/>
        <w:tc>
          <w:tcPr>
            <w:tcW w:w="452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6,334</w:t>
            </w:r>
          </w:p>
        </w:tc>
        <w:tc>
          <w:tcPr>
            <w:tcW w:w="75" w:type="dxa"/>
            <w:tcBorders/>
            <w:shd w:fill="CCEEFF" w:val="clear"/>
            <w:vAlign w:val="center"/>
          </w:tcPr>
          <w:p>
            <w:pPr>
              <w:pStyle w:val="TableContents"/>
              <w:bidi w:val="0"/>
              <w:spacing w:before="0" w:after="283"/>
              <w:jc w:val="left"/>
              <w:rPr/>
            </w:pPr>
            <w:r>
              <w:rPr/>
              <w:t> </w:t>
            </w:r>
            <w:bookmarkStart w:id="1333" w:name="xdx_40C_eus-gaap--IncomeTaxPaidForeignAf"/>
            <w:bookmarkEnd w:id="1333"/>
          </w:p>
        </w:tc>
      </w:tr>
      <w:tr>
        <w:trPr/>
        <w:tc>
          <w:tcPr>
            <w:tcW w:w="452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334" w:name="xdx_40F_eus-gaap--IncomeTaxesPaid_iT_mtI"/>
            <w:bookmarkEnd w:id="1334"/>
          </w:p>
        </w:tc>
      </w:tr>
      <w:tr>
        <w:trPr/>
        <w:tc>
          <w:tcPr>
            <w:tcW w:w="4520" w:type="dxa"/>
            <w:tcBorders/>
            <w:shd w:fill="CCEEFF" w:val="clear"/>
            <w:vAlign w:val="center"/>
          </w:tcPr>
          <w:p>
            <w:pPr>
              <w:pStyle w:val="TableContents"/>
              <w:bidi w:val="0"/>
              <w:spacing w:before="0" w:after="283"/>
              <w:jc w:val="left"/>
              <w:rPr/>
            </w:pPr>
            <w:r>
              <w:rPr/>
              <w:t>Total 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6,334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available objective evidence, including the Company’s history of cumulative losses, management believes it is likely that the Company’s U.S. federal and state net deferred tax assets will not be realizable. Accordingly, the Company provided for a full valuation allowance against its U.S. federal and state net deferred tax assets at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full valuation allowance already in place on the Company’s U.S. federal and state net deferred tax assets, the Company does not anticipate significant changes in the Company’s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US tax law enacted on July 4, 2025, allow for immediate expensing of domestic research and experimentation costs, accelerated depreciation on eligible capital expenditures, and other tax law changes impacting 2025 with certain changes effective in 2026. These changes are reflected in our results for the year ended December 31, 2025, and did not have a material impact on the Company’s effective tax rate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has U.S. federal and state net operating loss carryforwards of approximately $</w:t>
      </w:r>
      <w:bookmarkStart w:id="1335" w:name="xdx_908_eus-gaap--DeferredTaxAssetsOpera"/>
      <w:bookmarkEnd w:id="1335"/>
      <w:r>
        <w:rPr>
          <w:rFonts w:ascii="Times New Roman;Times;Serif" w:hAnsi="Times New Roman;Times;Serif"/>
          <w:b w:val="false"/>
          <w:i w:val="false"/>
          <w:caps w:val="false"/>
          <w:smallCaps w:val="false"/>
          <w:sz w:val="20"/>
        </w:rPr>
        <w:t>4,602,000 and $</w:t>
      </w:r>
      <w:bookmarkStart w:id="1336" w:name="xdx_90A_eus-gaap--DeferredTaxAssetsOpera"/>
      <w:bookmarkEnd w:id="1336"/>
      <w:r>
        <w:rPr>
          <w:rFonts w:ascii="Times New Roman;Times;Serif" w:hAnsi="Times New Roman;Times;Serif"/>
          <w:b w:val="false"/>
          <w:i w:val="false"/>
          <w:caps w:val="false"/>
          <w:smallCaps w:val="false"/>
          <w:sz w:val="20"/>
        </w:rPr>
        <w:t>3,831,000, respectively, which are available to offset future taxable income. U.S. federal net operating loss carryforwards can be carried forward indefinitely. State net operating loss carryovers begin to expire in 2044.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net operating loss and tax credit carryforwards may be subject to an annual limitation under sections 382 and 383 of the Internal Revenue Code of 1986 (the “Code”), and similar state provisions if the Company experienced one or more ownership changes, which would limit the amount of net operating loss and tax credit carryforwards that may be utilized to offset future taxable income and tax, respectively. In general, an ownership change, as defined by section 382, results from equity shifts that increase ownership of certain stockholders or public groups in the stock of the corporation of more than 50% over a three-year period. As a result of the September 2025 subscription agreement, a section 382 ownership change has occurred. After the consummation of the agreement, the Qualigen business has been substantially reduced resulting in any pre-ownership change net operating loss and tax credit carryforwards becoming fully limited under section 382. The pre-ownership change net operating losses and tax credit carryforward DTAs are considered worthless and have been written-off the deferred tax table presented above. The Company has not completed an Internal Revenue Code Section 382 analysis.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federal jurisdiction and in California. The Company’s U.S. federal income tax returns remain subject to examination by the Internal Revenue Service. The Company’s California income tax returns remain subject to examination by the California Franchise Tax Board. The companies tax returns for calendar year 2022 and forward are subject to examination by the U.S. federal and state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clarify the accounting for uncertainty in income taxes recognized in the Company’s financial statements and prescribe thresholds for financial statement recognition and measurement of a tax position taken or expected to be taken in a tax return, and also provide guidance on de-recognition and measurement of a tax position taken or expected to be taken in a tax return. The Company adopted these provisions effective April 1, 2009.</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unrecognized tax benefits of $</w:t>
      </w:r>
      <w:bookmarkStart w:id="1337" w:name="xdx_901_eus-gaap--UnrecognizedTaxBenefit"/>
      <w:bookmarkEnd w:id="1337"/>
      <w:r>
        <w:rPr>
          <w:rFonts w:ascii="Times New Roman;Times;Serif" w:hAnsi="Times New Roman;Times;Serif"/>
          <w:b w:val="false"/>
          <w:i w:val="false"/>
          <w:caps w:val="false"/>
          <w:smallCaps w:val="false"/>
          <w:sz w:val="20"/>
        </w:rPr>
        <w:t>0 as of December 31, 2025. Due to the existence of the valuation allowance, future changes in unrecognized tax benefits would have no effect on the Company’s effective tax rate. The Company does not foresee any material changes over the next 12 months. In accordance with generally accepted accounting principles, the Company will recognize interest and penalties accrued on any unrecognized tax benefits as a component of income tax expense. As of December 31, 2025, the Company has not accrued any interest or penalties related to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38" w:name="xdx_80B_eus-gaap--SubsequentEventsTextBl"/>
      <w:bookmarkEnd w:id="1338"/>
      <w:r>
        <w:rPr>
          <w:rFonts w:ascii="Times New Roman;Times;Serif" w:hAnsi="Times New Roman;Times;Serif"/>
          <w:b/>
          <w:i w:val="false"/>
          <w:caps w:val="false"/>
          <w:smallCaps w:val="false"/>
          <w:sz w:val="20"/>
        </w:rPr>
        <w:t xml:space="preserve">NOTE 19 — </w:t>
      </w:r>
      <w:bookmarkStart w:id="1339" w:name="xdx_823_zRyQA6DNoUq6"/>
      <w:bookmarkEnd w:id="1339"/>
      <w:r>
        <w:rPr>
          <w:rFonts w:ascii="Times New Roman;Times;Serif" w:hAnsi="Times New Roman;Times;Serif"/>
          <w:b/>
          <w:i w:val="false"/>
          <w:caps w:val="false"/>
          <w:smallCaps w:val="false"/>
          <w:sz w:val="20"/>
        </w:rPr>
        <w:t>SUBSEQUENT EVENTS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a total of </w:t>
      </w:r>
      <w:bookmarkStart w:id="1340" w:name="xdx_90C_eus-gaap--ConversionOfStockShare"/>
      <w:bookmarkEnd w:id="1340"/>
      <w:r>
        <w:rPr>
          <w:rFonts w:ascii="Times New Roman;Times;Serif" w:hAnsi="Times New Roman;Times;Serif"/>
          <w:b w:val="false"/>
          <w:i w:val="false"/>
          <w:caps w:val="false"/>
          <w:smallCaps w:val="false"/>
          <w:sz w:val="20"/>
        </w:rPr>
        <w:t xml:space="preserve">3,926 shares of Series B Preferred Stock were converted into </w:t>
      </w:r>
      <w:bookmarkStart w:id="1341" w:name="xdx_903_eus-gaap--ConversionOfStockShare"/>
      <w:bookmarkEnd w:id="1341"/>
      <w:r>
        <w:rPr>
          <w:rFonts w:ascii="Times New Roman;Times;Serif" w:hAnsi="Times New Roman;Times;Serif"/>
          <w:b w:val="false"/>
          <w:i w:val="false"/>
          <w:caps w:val="false"/>
          <w:smallCaps w:val="false"/>
          <w:sz w:val="20"/>
        </w:rPr>
        <w:t>1,747,781 shares of common stock at a conversion price of $</w:t>
      </w:r>
      <w:bookmarkStart w:id="1342" w:name="xdx_905_eus-gaap--PreferredStockConverti"/>
      <w:bookmarkEnd w:id="1342"/>
      <w:r>
        <w:rPr>
          <w:rFonts w:ascii="Times New Roman;Times;Serif" w:hAnsi="Times New Roman;Times;Serif"/>
          <w:b w:val="false"/>
          <w:i w:val="false"/>
          <w:caps w:val="false"/>
          <w:smallCaps w:val="false"/>
          <w:sz w:val="20"/>
        </w:rPr>
        <w:t xml:space="preserve">2.246 per share. In February 2026, a total of </w:t>
      </w:r>
      <w:bookmarkStart w:id="1343" w:name="xdx_901_eus-gaap--ConversionOfStockShare"/>
      <w:bookmarkEnd w:id="1343"/>
      <w:r>
        <w:rPr>
          <w:rFonts w:ascii="Times New Roman;Times;Serif" w:hAnsi="Times New Roman;Times;Serif"/>
          <w:b w:val="false"/>
          <w:i w:val="false"/>
          <w:caps w:val="false"/>
          <w:smallCaps w:val="false"/>
          <w:sz w:val="20"/>
        </w:rPr>
        <w:t xml:space="preserve">491 shares of Series B Preferred Stock were converted into </w:t>
      </w:r>
      <w:bookmarkStart w:id="1344" w:name="xdx_90E_eus-gaap--ConversionOfStockShare"/>
      <w:bookmarkEnd w:id="1344"/>
      <w:r>
        <w:rPr>
          <w:rFonts w:ascii="Times New Roman;Times;Serif" w:hAnsi="Times New Roman;Times;Serif"/>
          <w:b w:val="false"/>
          <w:i w:val="false"/>
          <w:caps w:val="false"/>
          <w:smallCaps w:val="false"/>
          <w:sz w:val="20"/>
        </w:rPr>
        <w:t>218,473 shares of common stock at a conversion price of $</w:t>
      </w:r>
      <w:bookmarkStart w:id="1345" w:name="xdx_90F_eus-gaap--SharePrice_iI_c2026022"/>
      <w:bookmarkEnd w:id="1345"/>
      <w:r>
        <w:rPr>
          <w:rFonts w:ascii="Times New Roman;Times;Serif" w:hAnsi="Times New Roman;Times;Serif"/>
          <w:b w:val="false"/>
          <w:i w:val="false"/>
          <w:caps w:val="false"/>
          <w:smallCaps w:val="false"/>
          <w:sz w:val="20"/>
        </w:rPr>
        <w:t xml:space="preserve">2.246 per share. In March 2026, a total of </w:t>
      </w:r>
      <w:bookmarkStart w:id="1346" w:name="xdx_906_eus-gaap--ConversionOfStockShare"/>
      <w:bookmarkEnd w:id="1346"/>
      <w:r>
        <w:rPr>
          <w:rFonts w:ascii="Times New Roman;Times;Serif" w:hAnsi="Times New Roman;Times;Serif"/>
          <w:b w:val="false"/>
          <w:i w:val="false"/>
          <w:caps w:val="false"/>
          <w:smallCaps w:val="false"/>
          <w:sz w:val="20"/>
        </w:rPr>
        <w:t xml:space="preserve">29,441 shares of Series B Preferred Stock were converted into </w:t>
      </w:r>
      <w:bookmarkStart w:id="1347" w:name="xdx_901_eus-gaap--ConversionOfStockShare"/>
      <w:bookmarkEnd w:id="1347"/>
      <w:r>
        <w:rPr>
          <w:rFonts w:ascii="Times New Roman;Times;Serif" w:hAnsi="Times New Roman;Times;Serif"/>
          <w:b w:val="false"/>
          <w:i w:val="false"/>
          <w:caps w:val="false"/>
          <w:smallCaps w:val="false"/>
          <w:sz w:val="20"/>
        </w:rPr>
        <w:t>13,108,357 shares of common stock at a conversion price of $</w:t>
      </w:r>
      <w:bookmarkStart w:id="1348" w:name="xdx_90F_eus-gaap--SharePrice_iI_c2026033"/>
      <w:bookmarkEnd w:id="1348"/>
      <w:r>
        <w:rPr>
          <w:rFonts w:ascii="Times New Roman;Times;Serif" w:hAnsi="Times New Roman;Times;Serif"/>
          <w:b w:val="false"/>
          <w:i w:val="false"/>
          <w:caps w:val="false"/>
          <w:smallCaps w:val="false"/>
          <w:sz w:val="20"/>
        </w:rPr>
        <w:t>2.246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repaid $</w:t>
      </w:r>
      <w:bookmarkStart w:id="1349" w:name="xdx_900_eus-gaap--RepaymentsOfNotesPayab"/>
      <w:bookmarkEnd w:id="1349"/>
      <w:r>
        <w:rPr>
          <w:rFonts w:ascii="Times New Roman;Times;Serif" w:hAnsi="Times New Roman;Times;Serif"/>
          <w:b w:val="false"/>
          <w:i w:val="false"/>
          <w:caps w:val="false"/>
          <w:smallCaps w:val="false"/>
          <w:sz w:val="20"/>
        </w:rPr>
        <w:t>132,000 to Alpha Capital Anstalt in satisfaction of their outstanding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formed three new wholly owned subsidiaries, registered in Delaware, to structure our core digital asset an AI initiatives.</w:t>
      </w:r>
    </w:p>
    <w:p>
      <w:pPr>
        <w:pStyle w:val="TextBody"/>
        <w:bidi w:val="0"/>
        <w:spacing w:before="0" w:after="0"/>
        <w:ind w:left="0"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170"/>
        <w:gridCol w:w="7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Token Labs US, Inc.: Web3 infrastructure and protocol development.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EAI, Inc.: EAI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AIxCrypto C10 ETF, Inc. Evaluate potential institutional exchange traded products in the future.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entered into an entrusted investment agreement (the “Entrusted Investment Agreement”) with GOLD KING ARTHUR HOLDING LIMITED (“GKA”) and Song Wang (“Song”), pursuant to which the Company entrusted to GKA the management of an investment involving shares (“FFAI Shares”) of Class A common stock, par value $</w:t>
      </w:r>
      <w:bookmarkStart w:id="1350" w:name="xdx_90D_eus-gaap--CommonStockParOrStated"/>
      <w:bookmarkEnd w:id="1350"/>
      <w:r>
        <w:rPr>
          <w:rFonts w:ascii="Times New Roman;Times;Serif" w:hAnsi="Times New Roman;Times;Serif"/>
          <w:b w:val="false"/>
          <w:i w:val="false"/>
          <w:caps w:val="false"/>
          <w:smallCaps w:val="false"/>
          <w:sz w:val="20"/>
        </w:rPr>
        <w:t>0.0001 per share (“FFAI Class A Common Stock”), of Faraday Future Intelligent Electric Inc. (“Faraday”). In connection with the Entrusted Investment Agreement, on the same date, GKA and Faraday entered into a securities purchase agreement (the “GKA SPA”) providing for the potential purchase of FFAI Shares for an aggregate consideration of $</w:t>
      </w:r>
      <w:bookmarkStart w:id="1351" w:name="xdx_900_eus-gaap--SaleOfStockConsiderati"/>
      <w:bookmarkEnd w:id="1351"/>
      <w:r>
        <w:rPr>
          <w:rFonts w:ascii="Times New Roman;Times;Serif" w:hAnsi="Times New Roman;Times;Serif"/>
          <w:b w:val="false"/>
          <w:i w:val="false"/>
          <w:caps w:val="false"/>
          <w:smallCaps w:val="false"/>
          <w:sz w:val="20"/>
        </w:rPr>
        <w:t>10,000,000. The number of Faraday Shares to be issued under the GKA SPA will be determined based on the closing price of FFAI Class A Common Stock on the trading day immediately prior to the closing date, and the closing is subject to customary conditions. As these agreements were executed after the balance sheet date and do not provide evidence of conditions existing as of that date, they represent non-recognized subsequent events under ASC 855, and no adjustments have been made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FFAI filed a Current Report on Form 8-K disclosing receipt of a deficiency notice from Nasdaq for failing to maintain the minimum $</w:t>
      </w:r>
      <w:bookmarkStart w:id="1352" w:name="xdx_909_ecustom--BidPrice_iI_pid_c202603"/>
      <w:bookmarkEnd w:id="1352"/>
      <w:r>
        <w:rPr>
          <w:rFonts w:ascii="Times New Roman;Times;Serif" w:hAnsi="Times New Roman;Times;Serif"/>
          <w:b w:val="false"/>
          <w:i w:val="false"/>
          <w:caps w:val="false"/>
          <w:smallCaps w:val="false"/>
          <w:sz w:val="20"/>
        </w:rPr>
        <w:t>1.00 bid price required by Nasdaq Listing Rule 5550(a)(2). Given the recent $</w:t>
      </w:r>
      <w:bookmarkStart w:id="1353" w:name="xdx_909_eus-gaap--Investments_iI_pn5n6_c"/>
      <w:bookmarkEnd w:id="1353"/>
      <w:r>
        <w:rPr>
          <w:rFonts w:ascii="Times New Roman;Times;Serif" w:hAnsi="Times New Roman;Times;Serif"/>
          <w:b w:val="false"/>
          <w:i w:val="false"/>
          <w:caps w:val="false"/>
          <w:smallCaps w:val="false"/>
          <w:sz w:val="20"/>
        </w:rPr>
        <w:t>10.0 million investment in FFAI disclosed above, a potential delisting introduces significant liquidity and valuation risks to our holding if FFAI fails to regain compliance during its allotted cure period. Additional details regarding the deficiency notice and FFAI’s compliance plans can be found in the Form 8-K filed by FFAI.</w:t>
      </w:r>
    </w:p>
    <w:p>
      <w:pPr>
        <w:pStyle w:val="TextBody"/>
        <w:bidi w:val="0"/>
        <w:spacing w:before="0" w:after="0"/>
        <w:ind w:left="0" w:right="0" w:hanging="0"/>
        <w:jc w:val="both"/>
        <w:rPr>
          <w:caps w:val="false"/>
          <w:smallCaps w:val="false"/>
        </w:rPr>
      </w:pPr>
      <w:bookmarkStart w:id="1354" w:name="xdx_81D_zBfPTJY4RRg"/>
      <w:bookmarkEnd w:id="135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5" w:name="a_015"/>
      <w:bookmarkEnd w:id="1355"/>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2025, the Audit Committee of the Board of Directors approved the dismissal of the Company’s independent registered public accounting firm, Macias Gini &amp; O’Connell LLP (“MGO”), and appointed HTL International, LLC (“HTL”) as the Company’s new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disagreements with the former auditor on any matter of accounting principles, financial statement disclosure, or auditing scope or procedure. The change in auditor was previously disclosed in a Current Report on Form 8-K filed with the Securities and Exchange Commission on December 16,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6" w:name="a_016"/>
      <w:bookmarkEnd w:id="1356"/>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Rules 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management’s evaluation (with the participation of the individuals serving as our principal executive officer and principal financial officer) of our disclosure controls and procedures as required by Rules 13a-15 and 15d-15 under the Exchange Act, each of the individuals serving as our principal executive officer and principal financial officer has concluded that our disclosure controls and procedures were not effective at the reasonable assurance level as of December 31, 2024, the end of the period covered by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including the individuals serving as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conducted an assessment of the effectiveness of our internal control over financial reporting based on the criteria set forth by the Committee of Sponsoring Organizations of the Treadway Commission in Internal Control-Integrated Framework (2013 Framework). Based on this assessment, our management concluded that, as of December 31, 2024, our internal control over financial reporting was not effective based on those criteria due to material weaknesses in our internal control over financial reporting described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audit, we identified the lack of sufficient number of personnel within the accounting function to adequately segregate duties, the Company did not have a designed and implemented effective Information Technology General Controls (“ITGC”) related to access controls to financial accounting system, and the Company did not have formalized documentation of its processes and controls that could be evaluated for proper design and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lack the resources to employ additional personnel to help mitigate these material weaknesses and we foresee that these material weaknesses will not be remediated until we receive additional funding to support our accounting department.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these or other measures will fully remediate the material weakness in a timely manner. Notwithstanding the identified material weakness, our management believes that the consolidated financial statements included in this report fairly represent in all material respects our financial condition, results of operations and cash flows at and for the periods presented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2025, management designed and implemented enhanced cash management and funds transfer controls, including defined authorization thresholds and segregation of duties between initiation and approval of disbursements. These controls were implemented to remediate previously identified deficiencies. Management believes these controls were operating effectively as of December 31, 2025. While formal written policy documentation is being finalized, management concluded that the material weakness relating to lack of documented cash handling procedures has been remediated as of year 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7" w:name="a_017"/>
      <w:bookmarkEnd w:id="1357"/>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no director or officer </w:t>
      </w:r>
      <w:bookmarkStart w:id="1358" w:name="xdx_90E_eecd--NonRule10b51ArrAdoptedFlag"/>
      <w:bookmarkStart w:id="1359" w:name="xdx_905_eecd--Rule10b51ArrAdoptedFlag_db"/>
      <w:bookmarkEnd w:id="1358"/>
      <w:bookmarkEnd w:id="1359"/>
      <w:r>
        <w:rPr>
          <w:rFonts w:ascii="Times New Roman;Times;Serif" w:hAnsi="Times New Roman;Times;Serif"/>
          <w:b w:val="false"/>
          <w:i w:val="false"/>
          <w:caps w:val="false"/>
          <w:smallCaps w:val="false"/>
          <w:sz w:val="20"/>
        </w:rPr>
        <w:t xml:space="preserve">adopted or </w:t>
      </w:r>
      <w:bookmarkStart w:id="1360" w:name="xdx_907_eecd--NonRule10b51ArrTrmntdFlag_"/>
      <w:bookmarkStart w:id="1361" w:name="xdx_909_eecd--Rule10b51ArrTrmntdFlag_dbF"/>
      <w:bookmarkEnd w:id="1360"/>
      <w:bookmarkEnd w:id="1361"/>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362" w:name="xdx_900_eecd--InsiderTrdPoliciesProcAdop"/>
      <w:bookmarkEnd w:id="1362"/>
      <w:r>
        <w:rPr>
          <w:rFonts w:ascii="Times New Roman;Times;Serif" w:hAnsi="Times New Roman;Times;Serif"/>
          <w:b w:val="false"/>
          <w:i w:val="false"/>
          <w:caps w:val="false"/>
          <w:smallCaps w:val="false"/>
          <w:sz w:val="20"/>
        </w:rPr>
        <w:t>adopted an insider trading policy governing the purchase, sale and/or other dispositions of the Company’s securities by directors, officers and employees, or the registrant itself, that have been designed to promote compliance with insider trading laws, rules and regulations, and Nasdaq’s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3" w:name="a_018"/>
      <w:bookmarkEnd w:id="1363"/>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64" w:name="a_019"/>
      <w:bookmarkEnd w:id="1364"/>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 </w:t>
      </w:r>
      <w:bookmarkStart w:id="1365" w:name="a_020"/>
      <w:bookmarkEnd w:id="1365"/>
      <w:r>
        <w:rPr>
          <w:rFonts w:ascii="Times New Roman;Times;Serif" w:hAnsi="Times New Roman;Times;Serif"/>
          <w:b/>
          <w:i w:val="false"/>
          <w:caps w:val="false"/>
          <w:smallCaps w:val="false"/>
          <w:sz w:val="20"/>
        </w:rPr>
        <w:t>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 Involving Executive Officers and Key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our Co-Chief Executive Officer, Jiawei (Jerry) Wang, received a “Wells Notice” from the staff of the Securities and Exchange Commission (the “SEC”). Subsequently, on June 30, 2025, Mr. YT Jia, who has been appointed as our Chief Advisor, also received a Wells Notice from the SEC.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notices state that the SEC staff has made a preliminary determination to recommend filing an enforcement action against Mr. Wang and Mr. Jia in their individual capacities. The alleged violations involve various anti-fraud provisions of the federal securities laws pertaining to purported false or misleading statements in connection with Faraday Future Intelligent Electric Inc.’s 2021 PIPE and SPAC listing, relating to (i) related party transactions, and (ii) Mr. Jia’s role.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staff’s recommendation for an enforcement action may seek an injunction or cease-and-desist order, civil monetary penalties, disgorgement, or other equitable relief. The SEC may also seek a formal bar preventing Mr. Wang and Mr. Jia from serving as an officer or director of a public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Wells Notice is neither a formal charge of wrongdoing nor a final determination that the recipient has violated any law. It is a preliminary determination by the SEC staff to recommend to the Commissioners of the SEC that a civil enforcement action or administrative proceeding be brought. If the SEC determines to seek an enforcement action, it must proceed through a formal legal process, during which the individuals could defend themselves.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both Mr. Wang and Mr. Jia submitted formal responses to the SEC outlining why they believed an enforcement action is unwarranted. On March 18, 2026, the SEC’s Division of Enforcement issued letters directly to Faraday Future Intelligent Electric, Inc., Mr. Wang and Mr. Jia stating that it does not intend to recommend an enforcement action. The Division of Enforcement noted that the letters must in no way be construed as indicating that the party has been exonerated or that no action may ultimately result from the staff’s investigation.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insider trading policy that governs the purchase, sale, and other dispositions of our securities by directors, officers, and employees. As a result of our recent corporate transition, the Company currently operates under the legacy insider trading policy originally adopted by Qualigen Therapeutics, Inc. (our predecessor entity). The Company is currently preparing an updated insider trading policy tailored to its current organizational structure. Until the Board formally adopts the updated policy, the legacy policy remains in full force and effect. A copy of this policy is filed as Exhibit 19.1 to this Annual Report on Form 10-K.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compensation recovery policy designed to comply with Nasdaq listing standards and Section 10D of the Securities Exchange Act of 1934. Following our corporate transition, the Company continues to enforce the legacy compensation recovery policy adopted by our predecessor entity. The Company is currently evaluating a revised recovery policy to align with its updated executive compensation programs. The legacy policy governs in the interim and is filed as Exhibit 97.1 to this Annual Report on Form 10-K.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366" w:name="a_021"/>
      <w:bookmarkEnd w:id="1366"/>
      <w:r>
        <w:rPr>
          <w:rFonts w:ascii="Times New Roman;Times;Serif" w:hAnsi="Times New Roman;Times;Serif"/>
          <w:b/>
          <w:i w:val="false"/>
          <w:caps/>
          <w:sz w:val="20"/>
        </w:rPr>
        <w:t>Item 11. Executive Compensation</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7" w:name="a_022"/>
      <w:bookmarkEnd w:id="1367"/>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8" w:name="a_023"/>
      <w:bookmarkEnd w:id="1368"/>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9" w:name="a_024"/>
      <w:bookmarkEnd w:id="1369"/>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70" w:name="a_025"/>
      <w:bookmarkEnd w:id="1370"/>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371" w:name="a_026"/>
      <w:bookmarkEnd w:id="1371"/>
      <w:r>
        <w:rPr>
          <w:rFonts w:ascii="Times New Roman;Times;Serif" w:hAnsi="Times New Roman;Times;Serif"/>
          <w:b/>
          <w:i w:val="false"/>
          <w:caps/>
          <w:sz w:val="20"/>
        </w:rPr>
        <w:t>Item 15.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Annual Report:</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exhibits listed below.</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Exhibits: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8"/>
        <w:gridCol w:w="60"/>
        <w:gridCol w:w="6561"/>
        <w:gridCol w:w="60"/>
        <w:gridCol w:w="541"/>
        <w:gridCol w:w="60"/>
        <w:gridCol w:w="674"/>
        <w:gridCol w:w="60"/>
        <w:gridCol w:w="650"/>
        <w:gridCol w:w="60"/>
        <w:gridCol w:w="701"/>
      </w:tblGrid>
      <w:tr>
        <w:trPr/>
        <w:tc>
          <w:tcPr>
            <w:tcW w:w="77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0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Stock Purchase Agreement dated July 20, 2023 with Chembio Diagnostics, Inc., Biosynex, S.A. and Qualigen, Inc.</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7/26/2023</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Ritter Pharmaceuticals, Inc.</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7/1/2015</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9/15/2017</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3/22/2018</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Certificate of Designation of Preferences, Rights and Limitations of Series Alpha Preferred Stock of the Company, filed with the Delaware Secretary of State on May 29,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 [reverse stock split]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Certificate of Merger,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Amended and Restated Bylaws of the Company, as of August 10, 2021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8/13/2021</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Certificate of Amendment to the Amended and Restated Certificate of Incorporation, filed with the Delaware Secretary of State on November 21, 2022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11/22/2022</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Certificate of Amendment to the Amended and Restated Certificate of Incorporation, filed with the Delaware Secretary of State on October 28, 2024</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11/01/2024</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Stock, as filed with the Secretary of State of the State of Delaware on July 28, 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07/28/2025</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b w:val="false"/>
                  <w:i w:val="false"/>
                  <w:caps w:val="false"/>
                  <w:smallCaps w:val="false"/>
                  <w:sz w:val="20"/>
                </w:rPr>
                <w:t>Certification of Amendment to Certificate of Incorporation, filed with the Delaware Secretary of State on November 14, 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11/17/2025</w:t>
            </w:r>
          </w:p>
        </w:tc>
      </w:tr>
      <w:tr>
        <w:trPr/>
        <w:tc>
          <w:tcPr>
            <w:tcW w:w="7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1"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b w:val="false"/>
                  <w:i w:val="false"/>
                  <w:caps w:val="false"/>
                  <w:smallCaps w:val="false"/>
                  <w:sz w:val="20"/>
                </w:rPr>
                <w:t>Description of Common Stock</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7/7/2023</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4"/>
        <w:gridCol w:w="60"/>
        <w:gridCol w:w="6922"/>
        <w:gridCol w:w="60"/>
        <w:gridCol w:w="372"/>
        <w:gridCol w:w="60"/>
        <w:gridCol w:w="774"/>
        <w:gridCol w:w="60"/>
        <w:gridCol w:w="485"/>
        <w:gridCol w:w="60"/>
        <w:gridCol w:w="788"/>
      </w:tblGrid>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r:id="rId16">
              <w:r>
                <w:rPr>
                  <w:rStyle w:val="InternetLink"/>
                  <w:rFonts w:ascii="Times New Roman;Times;Serif" w:hAnsi="Times New Roman;Times;Serif"/>
                  <w:b w:val="false"/>
                  <w:i w:val="false"/>
                  <w:caps w:val="false"/>
                  <w:smallCaps w:val="false"/>
                  <w:sz w:val="20"/>
                </w:rPr>
                <w:t>Securities Purchase Agreement, dated December 21, 2022, by and between Qualigen Therapeutics, Inc. and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12/22/2022</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r:id="rId17">
              <w:r>
                <w:rPr>
                  <w:rStyle w:val="InternetLink"/>
                  <w:rFonts w:ascii="Times New Roman;Times;Serif" w:hAnsi="Times New Roman;Times;Serif"/>
                  <w:b w:val="false"/>
                  <w:i w:val="false"/>
                  <w:caps w:val="false"/>
                  <w:smallCaps w:val="false"/>
                  <w:sz w:val="20"/>
                </w:rPr>
                <w:t>8% Senior Convertible Debenture Due December 22, 2025 in favor of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12/22/2022</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Registration Rights Agreement, dated December 22, 2022, by and between Qualigen Therapeutics, Inc. and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12/22/2022</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Letter to Michael Poirier, dated January 13, 2023, regarding compensatory changes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5/2/2023</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Letter to Amy Broidrick, dated January 13, 2023, regarding compensatory changes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5/2/2023</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Letter to Tariq Arshad, dated January 13, 2023, regarding compensatory changes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5/2/2023</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r:id="rId22">
              <w:r>
                <w:rPr>
                  <w:rStyle w:val="InternetLink"/>
                  <w:rFonts w:ascii="Times New Roman;Times;Serif" w:hAnsi="Times New Roman;Times;Serif"/>
                  <w:b w:val="false"/>
                  <w:i w:val="false"/>
                  <w:caps w:val="false"/>
                  <w:smallCaps w:val="false"/>
                  <w:sz w:val="20"/>
                </w:rPr>
                <w:t>Amendment No. 1 with regard to Securities Purchase Agreement dated December 5, 2023 with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12/7/2023</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r:id="rId23">
              <w:r>
                <w:rPr>
                  <w:rStyle w:val="InternetLink"/>
                  <w:rFonts w:ascii="Times New Roman;Times;Serif" w:hAnsi="Times New Roman;Times;Serif"/>
                  <w:b w:val="false"/>
                  <w:i w:val="false"/>
                  <w:caps w:val="false"/>
                  <w:smallCaps w:val="false"/>
                  <w:sz w:val="20"/>
                </w:rPr>
                <w:t>Amendment and Settlement Agreement dated July 19, 2023 with NanoSynex,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7/26/2023</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r:id="rId24">
              <w:r>
                <w:rPr>
                  <w:rStyle w:val="InternetLink"/>
                  <w:rFonts w:ascii="Times New Roman;Times;Serif" w:hAnsi="Times New Roman;Times;Serif"/>
                  <w:b w:val="false"/>
                  <w:i w:val="false"/>
                  <w:caps w:val="false"/>
                  <w:smallCaps w:val="false"/>
                  <w:sz w:val="20"/>
                </w:rPr>
                <w:t>Separation Agreement and General Release dated June 20, 2023 with Amy Broidrick</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8/14/2023</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Code of Business Conduct and Ethics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Registration Rights Agreement, dated as September 19, 2025, between Qualigen Therapeutics, Inc. and each Subscriber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10-03/2025</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w:anchor="ex19-1.htm">
              <w:r>
                <w:rPr>
                  <w:rStyle w:val="InternetLink"/>
                  <w:rFonts w:ascii="Times New Roman;Times;Serif" w:hAnsi="Times New Roman;Times;Serif"/>
                  <w:b w:val="false"/>
                  <w:i w:val="false"/>
                  <w:caps w:val="false"/>
                  <w:smallCaps w:val="false"/>
                  <w:sz w:val="20"/>
                </w:rPr>
                <w:t>Insider Trading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Subsidiaries of the Registrant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HTL International LLC,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w:anchor="ex23-2.htm">
              <w:r>
                <w:rPr>
                  <w:rStyle w:val="InternetLink"/>
                  <w:rFonts w:ascii="Times New Roman;Times;Serif" w:hAnsi="Times New Roman;Times;Serif"/>
                  <w:b w:val="false"/>
                  <w:i w:val="false"/>
                  <w:caps w:val="false"/>
                  <w:smallCaps w:val="false"/>
                  <w:sz w:val="20"/>
                </w:rPr>
                <w:t>Consent of WithumSmith+Brown, PC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2" w:type="dxa"/>
            <w:tcBorders/>
            <w:vAlign w:val="center"/>
          </w:tcPr>
          <w:p>
            <w:pPr>
              <w:pStyle w:val="TableContents"/>
              <w:bidi w:val="0"/>
              <w:spacing w:before="0" w:after="283"/>
              <w:jc w:val="left"/>
              <w:rPr/>
            </w:pPr>
            <w:hyperlink w:anchor="poa_001">
              <w:r>
                <w:rPr>
                  <w:rStyle w:val="InternetLink"/>
                  <w:rFonts w:ascii="Times New Roman;Times;Serif" w:hAnsi="Times New Roman;Times;Serif"/>
                  <w:b w:val="false"/>
                  <w:i w:val="false"/>
                  <w:caps w:val="false"/>
                  <w:smallCaps w:val="false"/>
                  <w:sz w:val="20"/>
                </w:rPr>
                <w:t>Power of Attorney (included on signature page)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8"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
        <w:gridCol w:w="60"/>
        <w:gridCol w:w="8943"/>
        <w:gridCol w:w="60"/>
        <w:gridCol w:w="60"/>
        <w:gridCol w:w="60"/>
        <w:gridCol w:w="60"/>
        <w:gridCol w:w="60"/>
        <w:gridCol w:w="60"/>
        <w:gridCol w:w="60"/>
        <w:gridCol w:w="76"/>
      </w:tblGrid>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Certificate of principal executive officer pursuant to Rule 13a-14(a)/15d-14(a),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Certificate of principal financial officer pursuant to Rule 13a-14(a)/15d-14(a),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left"/>
              <w:rPr/>
            </w:pPr>
            <w:hyperlink w:anchor="ex32-1.htm">
              <w:r>
                <w:rPr>
                  <w:rStyle w:val="InternetLink"/>
                  <w:rFonts w:ascii="Times New Roman;Times;Serif" w:hAnsi="Times New Roman;Times;Serif"/>
                  <w:b w:val="false"/>
                  <w:i w:val="false"/>
                  <w:caps w:val="false"/>
                  <w:smallCaps w:val="false"/>
                  <w:sz w:val="20"/>
                </w:rPr>
                <w:t>Certificate of principal executive officer and principal financial officer pursuant to 18 U.S.C. §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Clawback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or furnished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have been omitted pursuant to Item 601(b)(2) of Regulation S-K. A copy of any omitted schedules will be furnished to the SEC upon request.</w:t>
      </w:r>
    </w:p>
    <w:p>
      <w:pPr>
        <w:pStyle w:val="TextBody"/>
        <w:bidi w:val="0"/>
        <w:jc w:val="both"/>
        <w:rPr/>
      </w:pPr>
      <w:r>
        <w:rPr/>
        <w:t xml:space="preserve">*** </w:t>
      </w:r>
      <w:r>
        <w:rPr>
          <w:rFonts w:ascii="Times New Roman;Times;Serif" w:hAnsi="Times New Roman;Times;Serif"/>
          <w:sz w:val="20"/>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 or arrangement.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XBRL (Extensible Business Reporting Language)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72" w:name="a_027"/>
      <w:bookmarkEnd w:id="1372"/>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Annual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1805"/>
        <w:gridCol w:w="545"/>
        <w:gridCol w:w="660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71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71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Richardson II</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Richardson II</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ableContents"/>
              <w:bidi w:val="0"/>
              <w:spacing w:before="0" w:after="0"/>
              <w:ind w:left="0" w:right="0" w:hanging="0"/>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Chief Executive Officer and Director (Principal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 (Principal Financial and Accounting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73" w:name="poa_001"/>
      <w:bookmarkEnd w:id="1373"/>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Kevin Richardson II, Koti Meka, and Jerry Wang, and each of them individually, his true and lawful attorney-in-fact and agents, with full power of substitution and resubstitution, for him and in his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Annual Report has been signed below by the following persons on behalf of the Registrant and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1910"/>
        <w:gridCol w:w="60"/>
        <w:gridCol w:w="3635"/>
        <w:gridCol w:w="60"/>
        <w:gridCol w:w="1325"/>
      </w:tblGrid>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Richardson 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Richardson 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Campbell Becher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Campbell Becher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Jie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Jie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74" w:name="ex19-1.htm"/>
      <w:bookmarkStart w:id="1375" w:name="ksex191"/>
      <w:bookmarkEnd w:id="1374"/>
      <w:bookmarkEnd w:id="137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INSIDER TRADING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AIXCRYPTO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Insider Trading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QUALIGEN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Policies and Procedures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the Prevention of Insider Trading</w:t>
      </w:r>
    </w:p>
    <w:p>
      <w:pPr>
        <w:pStyle w:val="TextBody"/>
        <w:bidi w:val="0"/>
        <w:spacing w:before="0" w:after="0"/>
        <w:ind w:left="0" w:right="0" w:firstLine="720"/>
        <w:jc w:val="both"/>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155"/>
        <w:gridCol w:w="725"/>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 sale of securities while possessing material nonpublic (“</w:t>
      </w:r>
      <w:r>
        <w:rPr>
          <w:rFonts w:ascii="Times New Roman;Times;Serif" w:hAnsi="Times New Roman;Times;Serif"/>
          <w:b/>
          <w:i/>
          <w:caps w:val="false"/>
          <w:smallCaps w:val="false"/>
          <w:sz w:val="20"/>
        </w:rPr>
        <w:t>inside</w:t>
      </w:r>
      <w:r>
        <w:rPr>
          <w:rFonts w:ascii="Times New Roman;Times;Serif" w:hAnsi="Times New Roman;Times;Serif"/>
          <w:b w:val="false"/>
          <w:i w:val="false"/>
          <w:caps w:val="false"/>
          <w:smallCaps w:val="false"/>
          <w:sz w:val="20"/>
        </w:rPr>
        <w:t>”) information or the disclosure of inside information (“</w:t>
      </w:r>
      <w:r>
        <w:rPr>
          <w:rFonts w:ascii="Times New Roman;Times;Serif" w:hAnsi="Times New Roman;Times;Serif"/>
          <w:b/>
          <w:i/>
          <w:caps w:val="false"/>
          <w:smallCaps w:val="false"/>
          <w:sz w:val="20"/>
        </w:rPr>
        <w:t>tipping</w:t>
      </w:r>
      <w:r>
        <w:rPr>
          <w:rFonts w:ascii="Times New Roman;Times;Serif" w:hAnsi="Times New Roman;Times;Serif"/>
          <w:b w:val="false"/>
          <w:i w:val="false"/>
          <w:caps w:val="false"/>
          <w:smallCaps w:val="false"/>
          <w:sz w:val="20"/>
        </w:rPr>
        <w:t>”) to others who may trade in such securities is sometimes referred to as “</w:t>
      </w:r>
      <w:r>
        <w:rPr>
          <w:rFonts w:ascii="Times New Roman;Times;Serif" w:hAnsi="Times New Roman;Times;Serif"/>
          <w:b/>
          <w:i/>
          <w:caps w:val="false"/>
          <w:smallCaps w:val="false"/>
          <w:sz w:val="20"/>
        </w:rPr>
        <w:t>insider trading</w:t>
      </w:r>
      <w:r>
        <w:rPr>
          <w:rFonts w:ascii="Times New Roman;Times;Serif" w:hAnsi="Times New Roman;Times;Serif"/>
          <w:b w:val="false"/>
          <w:i w:val="false"/>
          <w:caps w:val="false"/>
          <w:smallCaps w:val="false"/>
          <w:sz w:val="20"/>
        </w:rPr>
        <w:t>”. Illegal insider trading occurs when a person buys or sells a security when in possession of inside information in violation of a duty of trust or confidence. In connection with carrying out your duties, you may have or obtain access to inside information about Qualigen Therapeutics, Inc., a Delaware corporation, and its subsidiaries (collectively,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You may also have or obtain access to inside information about other companies with which the Company conducts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promoting high standards of ethical business conduct and compliance with applicable laws, rules, regulations and listing standards.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the Company has adopted this Insider Trading Policy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as part of this commitment. This Policy was adopted by the Board on May 23, 2020 and was amended by the Board on August 10,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is designed to assist the Company in preventing illegal insider trading and to avoid even the appearance of improper conduct on the part of any Company director, officer, employee, consultant, independent contractor or agent. However, the ultimate responsibility for (i) complying with federal and state securities laws, (ii) adhering to the terms of this Policy, (iii) avoiding improper use of Company information (or the information of other companies with which the Company conducts business), and (iv) avoiding improper or illegal transactions in Company securities (or securities of other companies with which the Company conducts business) rests with you. It is imperative that you use your best judgment and that you ask questions where you are uncertain how to handle a particular situation.</w:t>
      </w:r>
    </w:p>
    <w:p>
      <w:pPr>
        <w:pStyle w:val="TextBody"/>
        <w:bidi w:val="0"/>
        <w:spacing w:before="0" w:after="0"/>
        <w:ind w:left="720" w:right="0" w:hanging="72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30"/>
        <w:gridCol w:w="212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21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of Policy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delegated to the Audit Committee (the “</w:t>
      </w: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the responsibility of administering this Policy. The Audit Committee may from time to time recommend to the Board changes to this Policy. All changes to this Policy must be approved by the Board.</w:t>
      </w:r>
    </w:p>
    <w:p>
      <w:pPr>
        <w:pStyle w:val="TextBody"/>
        <w:bidi w:val="0"/>
        <w:spacing w:before="0" w:after="0"/>
        <w:ind w:left="720" w:right="0" w:hanging="72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305"/>
        <w:gridCol w:w="2495"/>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24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Penalties for Insider Trading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penalties for violating the insider trading laws include imprisonment, disgorgement of profits gained or losses avoided, and substantial civil and criminal fines. As of the effective date of this Policy, an insider trading violation carries a maximum prison sentence of 20 years. Criminal fines can reach up to $5.0 million for individuals and $25.0 million for entities, and civil fines can reach up to three times the profit gained or loss avoided. In addition, individuals and entities considered to be “</w:t>
      </w:r>
      <w:r>
        <w:rPr>
          <w:rFonts w:ascii="Times New Roman;Times;Serif" w:hAnsi="Times New Roman;Times;Serif"/>
          <w:b/>
          <w:i/>
          <w:caps w:val="false"/>
          <w:smallCaps w:val="false"/>
          <w:sz w:val="20"/>
        </w:rPr>
        <w:t>control persons</w:t>
      </w:r>
      <w:r>
        <w:rPr>
          <w:rFonts w:ascii="Times New Roman;Times;Serif" w:hAnsi="Times New Roman;Times;Serif"/>
          <w:b w:val="false"/>
          <w:i w:val="false"/>
          <w:caps w:val="false"/>
          <w:smallCaps w:val="false"/>
          <w:sz w:val="20"/>
        </w:rPr>
        <w:t>” who knew or recklessly disregarded the fact that a “</w:t>
      </w:r>
      <w:r>
        <w:rPr>
          <w:rFonts w:ascii="Times New Roman;Times;Serif" w:hAnsi="Times New Roman;Times;Serif"/>
          <w:b/>
          <w:i/>
          <w:caps w:val="false"/>
          <w:smallCaps w:val="false"/>
          <w:sz w:val="20"/>
        </w:rPr>
        <w:t>controlled person</w:t>
      </w:r>
      <w:r>
        <w:rPr>
          <w:rFonts w:ascii="Times New Roman;Times;Serif" w:hAnsi="Times New Roman;Times;Serif"/>
          <w:b w:val="false"/>
          <w:i w:val="false"/>
          <w:caps w:val="false"/>
          <w:smallCaps w:val="false"/>
          <w:sz w:val="20"/>
        </w:rPr>
        <w:t>” was likely to engage in insider trading also may be civilly liable. As of the effective date of this Policy, the civil liability of “control persons” can be the greater of (i) $1.0 million or (ii) three times the amount of the profit gained or loss avoided. For this purpose, a “</w:t>
      </w:r>
      <w:r>
        <w:rPr>
          <w:rFonts w:ascii="Times New Roman;Times;Serif" w:hAnsi="Times New Roman;Times;Serif"/>
          <w:b/>
          <w:i/>
          <w:caps w:val="false"/>
          <w:smallCaps w:val="false"/>
          <w:sz w:val="20"/>
        </w:rPr>
        <w:t>control person</w:t>
      </w:r>
      <w:r>
        <w:rPr>
          <w:rFonts w:ascii="Times New Roman;Times;Serif" w:hAnsi="Times New Roman;Times;Serif"/>
          <w:b w:val="false"/>
          <w:i w:val="false"/>
          <w:caps w:val="false"/>
          <w:smallCaps w:val="false"/>
          <w:sz w:val="20"/>
        </w:rPr>
        <w:t>” is an entity or person who directly or indirectly controls another person, and could include the Company and/or its directors and officers. Under some circumstances, individuals who trade on inside information may also be subjected to private civil lawsuits. Moreover, because the inside information of the Company is the property of the Company, trading on or tipping the Company’s confidential information could result in serious employment sanctions up to and including termination of employment.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be aware that the surveillance techniques of the national securities exchanges (e.g., the Nasdaq Stock Market) and the Financial Industry Regulatory Authority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are becoming more sophisticated all the time, and the chance that authorities will detect and prosecute an insider trading violation involving even a small amount of securities is a significant one. Furthermore, companies that have securities registered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listed for trading on the national securities exchanges routinely receive inquiries from the SEC and/or FINRA regarding trading in their securities, and are required by applicable law to provide information in response to the inquiries, including about the companies’ knowledge of, or relationship with, certain persons who traded securities during the period that is the subject of the inquiry.</w:t>
      </w:r>
    </w:p>
    <w:p>
      <w:pPr>
        <w:pStyle w:val="TextBody"/>
        <w:bidi w:val="0"/>
        <w:spacing w:before="0" w:after="0"/>
        <w:ind w:left="720" w:right="0" w:hanging="72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tc>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Applicability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Covered Persons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Sections </w:t>
      </w:r>
      <w:r>
        <w:rPr>
          <w:rFonts w:ascii="Times New Roman;Times;Serif" w:hAnsi="Times New Roman;Times;Serif"/>
          <w:b/>
          <w:i w:val="false"/>
          <w:caps w:val="false"/>
          <w:smallCaps w:val="false"/>
          <w:sz w:val="20"/>
          <w:u w:val="single"/>
        </w:rPr>
        <w:t>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val="false"/>
          <w:caps w:val="false"/>
          <w:smallCaps w:val="false"/>
          <w:sz w:val="20"/>
          <w:u w:val="single"/>
        </w:rPr>
        <w:t>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Section XI</w:t>
      </w:r>
      <w:r>
        <w:rPr>
          <w:rFonts w:ascii="Times New Roman;Times;Serif" w:hAnsi="Times New Roman;Times;Serif"/>
          <w:b w:val="false"/>
          <w:i w:val="false"/>
          <w:caps w:val="false"/>
          <w:smallCaps w:val="false"/>
          <w:sz w:val="20"/>
        </w:rPr>
        <w:t xml:space="preserve"> of this Policy apply to all of the Company’s directors, officers, employees, consultants, independent contractors and agents within all of the Company’s business and operations (and the business and operations of any of the Company’s subsidiaries), as well as family members and domestic partners who share a household with any such persons. All references in this Policy to “</w:t>
      </w:r>
      <w:r>
        <w:rPr>
          <w:rFonts w:ascii="Times New Roman;Times;Serif" w:hAnsi="Times New Roman;Times;Serif"/>
          <w:b/>
          <w:i/>
          <w:caps w:val="false"/>
          <w:smallCaps w:val="false"/>
          <w:sz w:val="20"/>
        </w:rPr>
        <w:t>Covered Persons</w:t>
      </w:r>
      <w:r>
        <w:rPr>
          <w:rFonts w:ascii="Times New Roman;Times;Serif" w:hAnsi="Times New Roman;Times;Serif"/>
          <w:b w:val="false"/>
          <w:i w:val="false"/>
          <w:caps w:val="false"/>
          <w:smallCaps w:val="false"/>
          <w:sz w:val="20"/>
        </w:rPr>
        <w:t>” of the Company shall be read to include all persons identified in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Restricted Persons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Sections </w:t>
      </w:r>
      <w:r>
        <w:rPr>
          <w:rFonts w:ascii="Times New Roman;Times;Serif" w:hAnsi="Times New Roman;Times;Serif"/>
          <w:b/>
          <w:i w:val="false"/>
          <w:caps w:val="false"/>
          <w:smallCaps w:val="false"/>
          <w:sz w:val="20"/>
          <w:u w:val="single"/>
        </w:rPr>
        <w:t>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X</w:t>
      </w:r>
      <w:r>
        <w:rPr>
          <w:rFonts w:ascii="Times New Roman;Times;Serif" w:hAnsi="Times New Roman;Times;Serif"/>
          <w:b w:val="false"/>
          <w:i w:val="false"/>
          <w:caps w:val="false"/>
          <w:smallCaps w:val="false"/>
          <w:sz w:val="20"/>
        </w:rPr>
        <w:t xml:space="preserve"> of this Policy impose </w:t>
      </w:r>
      <w:r>
        <w:rPr>
          <w:rFonts w:ascii="Times New Roman;Times;Serif" w:hAnsi="Times New Roman;Times;Serif"/>
          <w:b w:val="false"/>
          <w:i w:val="false"/>
          <w:caps w:val="false"/>
          <w:smallCaps w:val="false"/>
          <w:sz w:val="20"/>
          <w:u w:val="single"/>
        </w:rPr>
        <w:t>additional</w:t>
      </w:r>
      <w:r>
        <w:rPr>
          <w:rFonts w:ascii="Times New Roman;Times;Serif" w:hAnsi="Times New Roman;Times;Serif"/>
          <w:b w:val="false"/>
          <w:i w:val="false"/>
          <w:caps w:val="false"/>
          <w:smallCaps w:val="false"/>
          <w:sz w:val="20"/>
        </w:rPr>
        <w:t xml:space="preserve"> obligations and restrictions on persons who are designated as “</w:t>
      </w:r>
      <w:r>
        <w:rPr>
          <w:rFonts w:ascii="Times New Roman;Times;Serif" w:hAnsi="Times New Roman;Times;Serif"/>
          <w:b/>
          <w:i/>
          <w:caps w:val="false"/>
          <w:smallCaps w:val="false"/>
          <w:sz w:val="20"/>
        </w:rPr>
        <w:t>Restricted Persons</w:t>
      </w:r>
      <w:r>
        <w:rPr>
          <w:rFonts w:ascii="Times New Roman;Times;Serif" w:hAnsi="Times New Roman;Times;Serif"/>
          <w:b w:val="false"/>
          <w:i w:val="false"/>
          <w:caps w:val="false"/>
          <w:smallCaps w:val="false"/>
          <w:sz w:val="20"/>
        </w:rPr>
        <w:t>”. For purposes of this Policy, Restricted Persons include the following:</w:t>
      </w:r>
    </w:p>
    <w:p>
      <w:pPr>
        <w:pStyle w:val="TextBody"/>
        <w:bidi w:val="0"/>
        <w:spacing w:before="0" w:after="0"/>
        <w:ind w:left="2160" w:right="0" w:hanging="72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75"/>
        <w:gridCol w:w="170"/>
        <w:gridCol w:w="8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(as determined by the Board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with the title of Vice President or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Accounting Department;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Finance Department;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assistants (or persons holding similar positions) of any of the persons listed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Family members and domestic partners who share a household with any of the persons listed above; and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individual whom the Compliance Officer may designate as a “Restricted Person” (see </w:t>
            </w:r>
            <w:r>
              <w:rPr>
                <w:rFonts w:ascii="Times New Roman;Times;Serif" w:hAnsi="Times New Roman;Times;Serif"/>
                <w:b/>
                <w:i w:val="false"/>
                <w:caps w:val="false"/>
                <w:smallCaps w:val="false"/>
                <w:sz w:val="20"/>
                <w:u w:val="single"/>
              </w:rPr>
              <w:t>Section X.B</w:t>
            </w:r>
            <w:r>
              <w:rPr>
                <w:rFonts w:ascii="Times New Roman;Times;Serif" w:hAnsi="Times New Roman;Times;Serif"/>
                <w:b w:val="false"/>
                <w:i w:val="false"/>
                <w:caps w:val="false"/>
                <w:smallCaps w:val="false"/>
                <w:sz w:val="20"/>
              </w:rPr>
              <w:t xml:space="preserve"> below) because the Compliance Officer believes that such individual has, or may have, access to material nonpublic information concerning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designated as a Restricted Person by title or by express designation by the Compliance Officer must comply with this Policy (as a Restricted Person) until notified otherwise in writing by the Compliance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Covered Securities and Transactions</w:t>
      </w:r>
      <w:r>
        <w:rPr>
          <w:rFonts w:ascii="Times New Roman;Times;Serif" w:hAnsi="Times New Roman;Times;Serif"/>
          <w:b w:val="false"/>
          <w:i w:val="false"/>
          <w:caps w:val="false"/>
          <w:smallCaps w:val="false"/>
          <w:sz w:val="20"/>
        </w:rPr>
        <w:t>. This Policy applies to all transactions in the Company’s securities, including common stock and any other type of securities that are convertible into or exchangeable or exercisable for common stock, such as convertible notes, warrants, options and other derivative securities. Without limiting the foregoing, this Policy applies to sales, purchases, transfers, gifts, exchanges, pledges, options, hedges, puts, calls and short sales, and any other transaction that transfers (or attempts or purports to transfer) the economic consequences of ownership of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investment decisions you make regarding Company securities. For example, if you have the power to direct the purchase or sale of Company securities by virtue of your position as a director or officer of a corporation or non-profit organization, as a general partner of a partnership, as a managing member of a limited liability company, as a trustee of a trust or as an executor of an estate, then all transactions in Company securities made on behalf of the corporation, organization, partnership, limited liability company, trust or estate, as applicable, are covered by this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also applies to trading in the securities of another company with which the Company conducts business if you learn material nonpublic information about that company or its securities as a result of your employment or association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Delivery of the Policy; Certifications</w:t>
      </w:r>
      <w:r>
        <w:rPr>
          <w:rFonts w:ascii="Times New Roman;Times;Serif" w:hAnsi="Times New Roman;Times;Serif"/>
          <w:b w:val="false"/>
          <w:i w:val="false"/>
          <w:caps w:val="false"/>
          <w:smallCaps w:val="false"/>
          <w:sz w:val="20"/>
        </w:rPr>
        <w:t xml:space="preserve">. This Policy will be delivered to all Covered Persons upon its adoption by the Company, and to all new directors, officers, employees and, where appropriate, independent contractors and agents, in each case upon the commencement of their employment or association with the Company. Thereafter, the Policy shall be distributed annually to all Covered Persons. All Covered Persons must provide a certification regarding their understanding of, and intent to comply with, this Policy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This certification shall be maintained by the Compliance Officer as further detailed in </w:t>
      </w:r>
      <w:r>
        <w:rPr>
          <w:rFonts w:ascii="Times New Roman;Times;Serif" w:hAnsi="Times New Roman;Times;Serif"/>
          <w:b/>
          <w:i w:val="false"/>
          <w:caps w:val="false"/>
          <w:smallCaps w:val="false"/>
          <w:sz w:val="20"/>
          <w:u w:val="single"/>
        </w:rPr>
        <w:t>Section VII</w:t>
      </w:r>
      <w:r>
        <w:rPr>
          <w:rFonts w:ascii="Times New Roman;Times;Serif" w:hAnsi="Times New Roman;Times;Serif"/>
          <w:b w:val="false"/>
          <w:i w:val="false"/>
          <w:caps w:val="false"/>
          <w:smallCaps w:val="false"/>
          <w:sz w:val="20"/>
        </w:rPr>
        <w:t xml:space="preserve"> below.</w:t>
      </w:r>
    </w:p>
    <w:p>
      <w:pPr>
        <w:pStyle w:val="TextBody"/>
        <w:bidi w:val="0"/>
        <w:spacing w:before="0" w:after="0"/>
        <w:ind w:left="720" w:right="0" w:hanging="72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Insider Trading.</w:t>
      </w:r>
      <w:r>
        <w:rPr>
          <w:rFonts w:ascii="Times New Roman;Times;Serif" w:hAnsi="Times New Roman;Times;Serif"/>
          <w:b w:val="false"/>
          <w:i w:val="false"/>
          <w:caps w:val="false"/>
          <w:smallCaps w:val="false"/>
          <w:sz w:val="20"/>
        </w:rPr>
        <w:t xml:space="preserve"> In general, “</w:t>
      </w:r>
      <w:r>
        <w:rPr>
          <w:rFonts w:ascii="Times New Roman;Times;Serif" w:hAnsi="Times New Roman;Times;Serif"/>
          <w:b/>
          <w:i/>
          <w:caps w:val="false"/>
          <w:smallCaps w:val="false"/>
          <w:sz w:val="20"/>
        </w:rPr>
        <w:t>insider trading</w:t>
      </w:r>
      <w:r>
        <w:rPr>
          <w:rFonts w:ascii="Times New Roman;Times;Serif" w:hAnsi="Times New Roman;Times;Serif"/>
          <w:b w:val="false"/>
          <w:i w:val="false"/>
          <w:caps w:val="false"/>
          <w:smallCaps w:val="false"/>
          <w:sz w:val="20"/>
        </w:rPr>
        <w:t>” occurs when a person purchases or sells a security while in possession of inside information in breach of a duty of trust or confidence owed directly or indirectly to the issuer of the security, the issuer’s stockholders or the source of the information. “</w:t>
      </w:r>
      <w:r>
        <w:rPr>
          <w:rFonts w:ascii="Times New Roman;Times;Serif" w:hAnsi="Times New Roman;Times;Serif"/>
          <w:b/>
          <w:i/>
          <w:caps w:val="false"/>
          <w:smallCaps w:val="false"/>
          <w:sz w:val="20"/>
        </w:rPr>
        <w:t>Inside information</w:t>
      </w:r>
      <w:r>
        <w:rPr>
          <w:rFonts w:ascii="Times New Roman;Times;Serif" w:hAnsi="Times New Roman;Times;Serif"/>
          <w:b w:val="false"/>
          <w:i w:val="false"/>
          <w:caps w:val="false"/>
          <w:smallCaps w:val="false"/>
          <w:sz w:val="20"/>
        </w:rPr>
        <w:t>” is information which is considered both “</w:t>
      </w:r>
      <w:r>
        <w:rPr>
          <w:rFonts w:ascii="Times New Roman;Times;Serif" w:hAnsi="Times New Roman;Times;Serif"/>
          <w:b/>
          <w:i/>
          <w:caps w:val="false"/>
          <w:smallCaps w:val="false"/>
          <w:sz w:val="20"/>
        </w:rPr>
        <w:t>material</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nonpublic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Materiality.</w:t>
      </w:r>
      <w:r>
        <w:rPr>
          <w:rFonts w:ascii="Times New Roman;Times;Serif" w:hAnsi="Times New Roman;Times;Serif"/>
          <w:b w:val="false"/>
          <w:i w:val="false"/>
          <w:caps w:val="false"/>
          <w:smallCaps w:val="false"/>
          <w:sz w:val="20"/>
        </w:rPr>
        <w:t xml:space="preserve"> A fact is considered “</w:t>
      </w:r>
      <w:r>
        <w:rPr>
          <w:rFonts w:ascii="Times New Roman;Times;Serif" w:hAnsi="Times New Roman;Times;Serif"/>
          <w:b/>
          <w:i/>
          <w:caps w:val="false"/>
          <w:smallCaps w:val="false"/>
          <w:sz w:val="20"/>
        </w:rPr>
        <w:t>material</w:t>
      </w:r>
      <w:r>
        <w:rPr>
          <w:rFonts w:ascii="Times New Roman;Times;Serif" w:hAnsi="Times New Roman;Times;Serif"/>
          <w:b w:val="false"/>
          <w:i w:val="false"/>
          <w:caps w:val="false"/>
          <w:smallCaps w:val="false"/>
          <w:sz w:val="20"/>
        </w:rPr>
        <w:t>” if (i) there is a substantial likelihood that a reasonable investor would consider it important in making a decision to buy, hold or sell securities, or (ii) disclosure of the information would be expected to significantly alter the total mix of information in the marketplace about the issuer of the security. Material information can reflect either good or bad news and is not limited to financial information. While it is impossible to list all types of information that might be deemed “</w:t>
      </w:r>
      <w:r>
        <w:rPr>
          <w:rFonts w:ascii="Times New Roman;Times;Serif" w:hAnsi="Times New Roman;Times;Serif"/>
          <w:b/>
          <w:i/>
          <w:caps w:val="false"/>
          <w:smallCaps w:val="false"/>
          <w:sz w:val="20"/>
        </w:rPr>
        <w:t>material</w:t>
      </w:r>
      <w:r>
        <w:rPr>
          <w:rFonts w:ascii="Times New Roman;Times;Serif" w:hAnsi="Times New Roman;Times;Serif"/>
          <w:b w:val="false"/>
          <w:i w:val="false"/>
          <w:caps w:val="false"/>
          <w:smallCaps w:val="false"/>
          <w:sz w:val="20"/>
        </w:rPr>
        <w:t>” under particular circumstances, information dealing with the following subjects affecting the Company would generally be considered material:</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of future revenues, margins, expenses, earnings, capital expenditures or liquidity position or other financial or operational information (including confirmation of any previously disclosed projections or guidance);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or actual Company financial or operational results for a quarterly or annual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of a pending or proposed merger, acquisition, strategic partnership or joint venture relationship;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of a pending or proposed sale, disposition or write-down of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of a significant change in business plans or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relating to the execution or termination of significant contracts with customers, suppliers, vendors, licensors or other constituents;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relating to key products 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dividend policies, recapitalizations or stock splits;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offerings of securities or other financing developments;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repurchases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proposed changes in the Board, senior management or other major personnel changes;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of significant litigation, regulatory matters, government investigations or similar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Nonpublic Information.</w:t>
      </w:r>
      <w:r>
        <w:rPr>
          <w:rFonts w:ascii="Times New Roman;Times;Serif" w:hAnsi="Times New Roman;Times;Serif"/>
          <w:b w:val="false"/>
          <w:i w:val="false"/>
          <w:caps w:val="false"/>
          <w:smallCaps w:val="false"/>
          <w:sz w:val="20"/>
        </w:rPr>
        <w:t xml:space="preserve"> Information is “</w:t>
      </w:r>
      <w:r>
        <w:rPr>
          <w:rFonts w:ascii="Times New Roman;Times;Serif" w:hAnsi="Times New Roman;Times;Serif"/>
          <w:b/>
          <w:i/>
          <w:caps w:val="false"/>
          <w:smallCaps w:val="false"/>
          <w:sz w:val="20"/>
        </w:rPr>
        <w:t>nonpublic</w:t>
      </w:r>
      <w:r>
        <w:rPr>
          <w:rFonts w:ascii="Times New Roman;Times;Serif" w:hAnsi="Times New Roman;Times;Serif"/>
          <w:b w:val="false"/>
          <w:i w:val="false"/>
          <w:caps w:val="false"/>
          <w:smallCaps w:val="false"/>
          <w:sz w:val="20"/>
        </w:rPr>
        <w:t>” if it has not been widely disclosed to the general public through major newswire services, national news services, financial news services, filings with the SEC, or other method that has been determined by the SEC to be compliant with Regulation FD. For purposes of this Policy, information will be considered public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no longer “</w:t>
      </w:r>
      <w:r>
        <w:rPr>
          <w:rFonts w:ascii="Times New Roman;Times;Serif" w:hAnsi="Times New Roman;Times;Serif"/>
          <w:b/>
          <w:i/>
          <w:caps w:val="false"/>
          <w:smallCaps w:val="false"/>
          <w:sz w:val="20"/>
        </w:rPr>
        <w:t>nonpublic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after the close of trading on the full trading day following the day on which the Company publicly releases the information</w:t>
      </w:r>
      <w:r>
        <w:rPr>
          <w:rFonts w:ascii="Times New Roman;Times;Serif" w:hAnsi="Times New Roman;Times;Serif"/>
          <w:b w:val="false"/>
          <w:i w:val="false"/>
          <w:caps w:val="false"/>
          <w:smallCaps w:val="false"/>
          <w:sz w:val="20"/>
        </w:rPr>
        <w:t xml:space="preserve"> in accordance with the foregoing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Tipping.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Tipping</w:t>
      </w:r>
      <w:r>
        <w:rPr>
          <w:rFonts w:ascii="Times New Roman;Times;Serif" w:hAnsi="Times New Roman;Times;Serif"/>
          <w:b w:val="false"/>
          <w:i w:val="false"/>
          <w:caps w:val="false"/>
          <w:smallCaps w:val="false"/>
          <w:sz w:val="20"/>
        </w:rPr>
        <w:t>” is the disclosure of material nonpublic information concerning the Company or its securities to an outside person. Providing inside information to anyone who thereafter trades on the basis of that information may subject both you (the “</w:t>
      </w:r>
      <w:r>
        <w:rPr>
          <w:rFonts w:ascii="Times New Roman;Times;Serif" w:hAnsi="Times New Roman;Times;Serif"/>
          <w:b/>
          <w:i/>
          <w:caps w:val="false"/>
          <w:smallCaps w:val="false"/>
          <w:sz w:val="20"/>
        </w:rPr>
        <w:t>tipper</w:t>
      </w:r>
      <w:r>
        <w:rPr>
          <w:rFonts w:ascii="Times New Roman;Times;Serif" w:hAnsi="Times New Roman;Times;Serif"/>
          <w:b w:val="false"/>
          <w:i w:val="false"/>
          <w:caps w:val="false"/>
          <w:smallCaps w:val="false"/>
          <w:sz w:val="20"/>
        </w:rPr>
        <w:t>”) and the other person (the “</w:t>
      </w:r>
      <w:r>
        <w:rPr>
          <w:rFonts w:ascii="Times New Roman;Times;Serif" w:hAnsi="Times New Roman;Times;Serif"/>
          <w:b/>
          <w:i/>
          <w:caps w:val="false"/>
          <w:smallCaps w:val="false"/>
          <w:sz w:val="20"/>
        </w:rPr>
        <w:t>tippee</w:t>
      </w:r>
      <w:r>
        <w:rPr>
          <w:rFonts w:ascii="Times New Roman;Times;Serif" w:hAnsi="Times New Roman;Times;Serif"/>
          <w:b w:val="false"/>
          <w:i w:val="false"/>
          <w:caps w:val="false"/>
          <w:smallCaps w:val="false"/>
          <w:sz w:val="20"/>
        </w:rPr>
        <w:t>”) to insider trading liability.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90"/>
        <w:gridCol w:w="17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tc>
        <w:tc>
          <w:tcPr>
            <w:tcW w:w="1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Activities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Prohibitions.</w:t>
      </w:r>
      <w:r>
        <w:rPr>
          <w:rFonts w:ascii="Times New Roman;Times;Serif" w:hAnsi="Times New Roman;Times;Serif"/>
          <w:b w:val="false"/>
          <w:i w:val="false"/>
          <w:caps w:val="false"/>
          <w:smallCaps w:val="false"/>
          <w:sz w:val="20"/>
        </w:rPr>
        <w:t xml:space="preserve"> Except for the limited exceptions described in </w:t>
      </w:r>
      <w:r>
        <w:rPr>
          <w:rFonts w:ascii="Times New Roman;Times;Serif" w:hAnsi="Times New Roman;Times;Serif"/>
          <w:b/>
          <w:i w:val="false"/>
          <w:caps w:val="false"/>
          <w:smallCaps w:val="false"/>
          <w:sz w:val="20"/>
          <w:u w:val="single"/>
        </w:rPr>
        <w:t>Section VI.B</w:t>
      </w:r>
      <w:r>
        <w:rPr>
          <w:rFonts w:ascii="Times New Roman;Times;Serif" w:hAnsi="Times New Roman;Times;Serif"/>
          <w:b w:val="false"/>
          <w:i w:val="false"/>
          <w:caps w:val="false"/>
          <w:smallCaps w:val="false"/>
          <w:sz w:val="20"/>
        </w:rPr>
        <w:t xml:space="preserve"> below, the following activities are </w:t>
      </w:r>
      <w:r>
        <w:rPr>
          <w:rFonts w:ascii="Times New Roman;Times;Serif" w:hAnsi="Times New Roman;Times;Serif"/>
          <w:b w:val="false"/>
          <w:i w:val="false"/>
          <w:caps w:val="false"/>
          <w:smallCaps w:val="false"/>
          <w:sz w:val="20"/>
          <w:u w:val="single"/>
        </w:rPr>
        <w:t>strictly prohibited</w:t>
      </w:r>
      <w:r>
        <w:rPr>
          <w:rFonts w:ascii="Times New Roman;Times;Serif" w:hAnsi="Times New Roman;Times;Serif"/>
          <w:b w:val="false"/>
          <w:i w:val="false"/>
          <w:caps w:val="false"/>
          <w:smallCaps w:val="false"/>
          <w:sz w:val="20"/>
        </w:rPr>
        <w:t xml:space="preserve"> under this Policy:</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may sell, purchase, transfer, gift, pledge or effectuate any other transaction in Company securities (including any transaction that transfers (or attempts or purports to transfer) the economic consequences of ownership of the Company’s securities) while in possession of material nonpublic information concerning the Company or its securities. This prohibition includes sales of shares received upon exercise of stock options, vesting of restricted stock or settlement of restricted stock units.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may “</w:t>
            </w:r>
            <w:r>
              <w:rPr>
                <w:rFonts w:ascii="Times New Roman;Times;Serif" w:hAnsi="Times New Roman;Times;Serif"/>
                <w:b/>
                <w:i/>
                <w:caps w:val="false"/>
                <w:smallCaps w:val="false"/>
                <w:sz w:val="20"/>
              </w:rPr>
              <w:t>tip</w:t>
            </w:r>
            <w:r>
              <w:rPr>
                <w:rFonts w:ascii="Times New Roman;Times;Serif" w:hAnsi="Times New Roman;Times;Serif"/>
                <w:b w:val="false"/>
                <w:i w:val="false"/>
                <w:caps w:val="false"/>
                <w:smallCaps w:val="false"/>
                <w:sz w:val="20"/>
              </w:rPr>
              <w:t>” or disclose material nonpublic information concerning the Company or its securities to any outside person (including family members, affiliates, analysts, investors, members of the investment community and news media). Should a Covered Person inadvertently disclose such information to an outside person, the Covered Person must promptly inform the Compliance Officer regarding this disclosure. In that event, the Company will either (i) take steps necessary to preserve the confidentiality of the information, including requiring the outside person to agree in writing to comply with the terms of this Policy and/or sign a confidentiality agreement, or (ii) take steps necessary to disclose the information publicly in accordance with the requirements of Regulation FD.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may purchase Company securities on margin, hold Company securities in a margin account, or pledge Company securities as collateral for a loan.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and speculative trading in Company securities, as well as hedging and other derivative transactions involving Company securities, can create the appearance of impropriety and may become the subject of an SEC or FINRA investigation. These types of transactions can also result in inadvertent violations of insider trading laws and/or liability for “short-swing” profits under Section 16(b) of the Securities Exchange Act of 1934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Accordingly, the Company has adopted the following restrictions on trading in, or otherwise effecting transactions in, Company securities (even if you are not in possession of material nonpublic information):</w:t>
            </w:r>
          </w:p>
        </w:tc>
      </w:tr>
    </w:tbl>
    <w:p>
      <w:pPr>
        <w:pStyle w:val="TextBody"/>
        <w:bidi w:val="0"/>
        <w:spacing w:before="0" w:after="0"/>
        <w:ind w:left="2881"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may trade in any interest or position relating to the future price of Company securities, such as put or call options or other derivative securities, or enter into any short sale of Company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may hedge the value of Company securities. A “</w:t>
            </w:r>
            <w:r>
              <w:rPr>
                <w:rFonts w:ascii="Times New Roman;Times;Serif" w:hAnsi="Times New Roman;Times;Serif"/>
                <w:b/>
                <w:i/>
                <w:caps w:val="false"/>
                <w:smallCaps w:val="false"/>
                <w:sz w:val="20"/>
              </w:rPr>
              <w:t>hedge</w:t>
            </w:r>
            <w:r>
              <w:rPr>
                <w:rFonts w:ascii="Times New Roman;Times;Serif" w:hAnsi="Times New Roman;Times;Serif"/>
                <w:b w:val="false"/>
                <w:i w:val="false"/>
                <w:caps w:val="false"/>
                <w:smallCaps w:val="false"/>
                <w:sz w:val="20"/>
              </w:rPr>
              <w:t>” is a transaction designed to offset or reduce the risk of a decline in the market value of a security, and can include, but is not limited to, prepaid variable forward contracts, equity swaps, collars and exchange funds.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230"/>
        <w:gridCol w:w="8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may trade Company securities on an active basis, including short-term speculation.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may trade in securities of another company if the Covered Person is in possession of material nonpublic information about that other company which the Covered Person learned as a result of his or her employment or association with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shall make any information about the Company publicly available, except to the extent specifically authorized to do so.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prohibited activities is not intended to be exhaustive and the Compliance Officer has the discretion to impose additional limitations and restrictions on trading and other transactions in Company securities as he or she deems appropriate in order to effect the intentions and purposes of this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Exceptions to Prohibited Activities. </w:t>
      </w:r>
      <w:r>
        <w:rPr>
          <w:rFonts w:ascii="Times New Roman;Times;Serif" w:hAnsi="Times New Roman;Times;Serif"/>
          <w:b w:val="false"/>
          <w:i w:val="false"/>
          <w:caps w:val="false"/>
          <w:smallCaps w:val="false"/>
          <w:sz w:val="20"/>
        </w:rPr>
        <w:t>Prohibitions in effecting transactions in Company securities under this Policy do not extend to:</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vested stock options, either on a “</w:t>
            </w:r>
            <w:r>
              <w:rPr>
                <w:rFonts w:ascii="Times New Roman;Times;Serif" w:hAnsi="Times New Roman;Times;Serif"/>
                <w:b/>
                <w:i/>
                <w:caps w:val="false"/>
                <w:smallCaps w:val="false"/>
                <w:sz w:val="20"/>
              </w:rPr>
              <w:t>cash for stock</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stock for stock</w:t>
            </w:r>
            <w:r>
              <w:rPr>
                <w:rFonts w:ascii="Times New Roman;Times;Serif" w:hAnsi="Times New Roman;Times;Serif"/>
                <w:b w:val="false"/>
                <w:i w:val="false"/>
                <w:caps w:val="false"/>
                <w:smallCaps w:val="false"/>
                <w:sz w:val="20"/>
              </w:rPr>
              <w:t>” basis, where no Company stock is sold to fund the option exercises. However, note that while vested stock options may be exercised at any time under this Policy, the sale or transfer of any common stock acquired through such exercise is subject to this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Company stock upon vesting of restricted stock or settlement of restricted stock units. However, note that the sale or transfer of any common stock acquired upon such vesting is subject to this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of Company stock by the Company in payment of tax obligations upon the vesting or exercise (as applicable) of stock options, restricted stock, or restricted stock units.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 securities purchased or sold under a Rule 10b5-1 Trading Plan that has been approved in advance by the Compliance Officer (see </w:t>
            </w:r>
            <w:r>
              <w:rPr>
                <w:rFonts w:ascii="Times New Roman;Times;Serif" w:hAnsi="Times New Roman;Times;Serif"/>
                <w:b/>
                <w:i w:val="false"/>
                <w:caps w:val="false"/>
                <w:smallCaps w:val="false"/>
                <w:sz w:val="20"/>
                <w:u w:val="single"/>
              </w:rPr>
              <w:t>Section XI</w:t>
            </w:r>
            <w:r>
              <w:rPr>
                <w:rFonts w:ascii="Times New Roman;Times;Serif" w:hAnsi="Times New Roman;Times;Serif"/>
                <w:b w:val="false"/>
                <w:i w:val="false"/>
                <w:caps w:val="false"/>
                <w:smallCaps w:val="false"/>
                <w:sz w:val="20"/>
              </w:rPr>
              <w:t xml:space="preserve">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Company stock by a Covered Person into a trust for which the Covered Person is a trustee, or from the trust back into the name of the Covered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Bona fide gifts of Company securities following receipt of written approval from the Compliance Officer (provided that the Compliance Officer shall retain the discretion to require the transferee to certify that it will comply with the terms of this Policy as a “Covered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Bona fide charitable donations of Company securities to an organization that has obtained 501(c)(3) tax exempt status under the Internal Revenue Code following receipt of written approval from the Compliance Officer (provided that the Compliance Officer shall retain the discretion to require the organization to certify that it will comply with the terms of this Policy as a “Covered Person”).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securities transactions not expressly prohibited under </w:t>
            </w:r>
            <w:r>
              <w:rPr>
                <w:rFonts w:ascii="Times New Roman;Times;Serif" w:hAnsi="Times New Roman;Times;Serif"/>
                <w:b/>
                <w:i w:val="false"/>
                <w:caps w:val="false"/>
                <w:smallCaps w:val="false"/>
                <w:sz w:val="20"/>
                <w:u w:val="single"/>
              </w:rPr>
              <w:t>Section VI.A</w:t>
            </w:r>
            <w:r>
              <w:rPr>
                <w:rFonts w:ascii="Times New Roman;Times;Serif" w:hAnsi="Times New Roman;Times;Serif"/>
                <w:b w:val="false"/>
                <w:i w:val="false"/>
                <w:caps w:val="false"/>
                <w:smallCaps w:val="false"/>
                <w:sz w:val="20"/>
              </w:rPr>
              <w:t xml:space="preserve"> above between a Covered Person and a sophisticated party (as determined by the Compliance Officer) provided that (i) if it is proposed by the Covered Person that inside information is to be provided to the sophisticated party, any such information shall only be provided by the Company in the Company’s sole discretion, and then, if so disclosed, only after the party has entered into a non-disclosure agreement with the Company in form and substance satisfactory to the Company and (ii) the party agrees to any restrictions under federal and state securities laws that the Company may impose on the party’s ability to effect transactions in any Company securities purchased by the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sales of mutual funds, exchange traded funds or other similar funds or investment vehicles that invest in securities of the Company and with respect to which the Covered Person is a passive investor and has no rights with respect to the voting or disposition of any Company securities, and purchases and sales of Company securities by any such entity.</w:t>
            </w:r>
          </w:p>
        </w:tc>
      </w:tr>
    </w:tbl>
    <w:p>
      <w:pPr>
        <w:pStyle w:val="TextBody"/>
        <w:bidi w:val="0"/>
        <w:spacing w:before="0" w:after="0"/>
        <w:ind w:left="720" w:right="0" w:hanging="72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365"/>
        <w:gridCol w:w="2480"/>
      </w:tblGrid>
      <w:tr>
        <w:trPr/>
        <w:tc>
          <w:tcPr>
            <w:tcW w:w="3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w:t>
            </w:r>
          </w:p>
        </w:tc>
        <w:tc>
          <w:tcPr>
            <w:tcW w:w="24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Compliance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Covered Person who has questions regarding the scope of this Policy, or the interpretation of any provisions of this Policy, should consult with the Compliance Officer for guidance. For example, any Covered Person should consult with the Compliance Officer if he or she is unsure whether the information he or she possesses constitutes material nonpublic information, whether a specific transaction in Company securities is covered by this Policy, or whether an exception to this Policy applies to a specific transaction in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initially designated the Chief Financial Officer as the Compliance Officer for purposes of this Policy. The Board, upon recommendation of the Audit Committee, may designate a different person to perform the compliance duties under this Policy by adopting changes to this Policy, which changes will be effective as of the date of such Board approval (unless another date is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is granted the authority to perform all compliance duties under this Policy. The Compliance Officer may designate one or more individuals to assist in performing compliance duties under this Policy. The determinations of the Compliance Officer under this Policy are final and binding on all interested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and responsibilities of the Compliance Officer under this Policy include the following:</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and interpreting this Policy, and monitoring and enforcing compliance with the provisions and procedures of this Policy.</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Responding to inquiries relating to this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Designating the list of Restricted Persons under this Policy (either by title or by express designation).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Announcing special trading blackout periods during which Restricted Persons may not trade in Company securities, including designating the persons who shall be considered Restricted Persons for purposes of a particular special blackout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providing (or supervising the provision of) copies of this Policy and other appropriate materials to all Covered Persons, and overseeing routine training of Covered Persons with respect to the provisions and procedures of this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revisions to this Policy to reflect changes in federal or state securities laws, Nasdaq listing standards, interpretive guidance issued by the SEC, as well as best corporate governance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Maintaining records of all documents required by the provisions of this Policy, including copies of the certifications required to be executed by all Covered Persons (see </w:t>
            </w:r>
            <w:r>
              <w:rPr>
                <w:rFonts w:ascii="Times New Roman;Times;Serif" w:hAnsi="Times New Roman;Times;Serif"/>
                <w:b/>
                <w:i w:val="false"/>
                <w:caps w:val="false"/>
                <w:smallCaps w:val="false"/>
                <w:sz w:val="20"/>
                <w:u w:val="single"/>
              </w:rPr>
              <w:t>Section IV.D</w:t>
            </w:r>
            <w:r>
              <w:rPr>
                <w:rFonts w:ascii="Times New Roman;Times;Serif" w:hAnsi="Times New Roman;Times;Serif"/>
                <w:b w:val="false"/>
                <w:i w:val="false"/>
                <w:caps w:val="false"/>
                <w:smallCaps w:val="false"/>
                <w:sz w:val="20"/>
              </w:rPr>
              <w:t xml:space="preserve">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outside legal counsel or other advisors to assist in carrying out the duties and responsibilities of the Compliance Officer under this Policy.</w:t>
            </w:r>
          </w:p>
        </w:tc>
      </w:tr>
    </w:tbl>
    <w:p>
      <w:pPr>
        <w:pStyle w:val="TextBody"/>
        <w:bidi w:val="0"/>
        <w:spacing w:before="0" w:after="0"/>
        <w:ind w:left="720" w:right="0" w:hanging="72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440"/>
        <w:gridCol w:w="4745"/>
      </w:tblGrid>
      <w:tr>
        <w:trPr/>
        <w:tc>
          <w:tcPr>
            <w:tcW w:w="4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w:t>
            </w:r>
          </w:p>
        </w:tc>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 of Information Relating to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Access to Information.</w:t>
      </w:r>
      <w:r>
        <w:rPr>
          <w:rFonts w:ascii="Times New Roman;Times;Serif" w:hAnsi="Times New Roman;Times;Serif"/>
          <w:b w:val="false"/>
          <w:i w:val="false"/>
          <w:caps w:val="false"/>
          <w:smallCaps w:val="false"/>
          <w:sz w:val="20"/>
        </w:rPr>
        <w:t xml:space="preserve"> Risk of insider trading violations by individuals employed by or associated with the Company can be substantially limited by restricting the pool of individuals with access to material nonpublic information to the greatest extent possible. Access to material nonpublic information about the Company should be limited to directors, officers and employees of the Company on a need-to-know basis. In addition, such information should not be communicated to anyone outside the Company (e.g., consultants, independent contractors, etc.) unless such person has signed an appropriate confidentiality agreement prior to dissemination of the information. When communication of material nonpublic information about the Company becomes necessary, all directors, officers and employees must take care to emphasize the need for confidential treatment of such information and adherence to the Company’s policies with regard to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Disclosure of Information.</w:t>
      </w:r>
      <w:r>
        <w:rPr>
          <w:rFonts w:ascii="Times New Roman;Times;Serif" w:hAnsi="Times New Roman;Times;Serif"/>
          <w:b w:val="false"/>
          <w:i w:val="false"/>
          <w:caps w:val="false"/>
          <w:smallCaps w:val="false"/>
          <w:sz w:val="20"/>
        </w:rPr>
        <w:t xml:space="preserve"> Material nonpublic information about the Company is the property of the Company and the confidentiality of this information must be strictly maintained within the Company. Only the Chief Executive Officer and Chief Financial Officer are authorized to disclose material nonpublic information about the Company to stockholders, analysts, members of the investment community, business partners or other persons unless one of these officers has expressly authorized disclosure by another employee in advance of such disclosure being made. All inquiries regarding the Company should be directed to the Chief Executive Officer or Chief Financial Officer and no other comment should be provided.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90"/>
        <w:gridCol w:w="50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IX.</w:t>
            </w:r>
          </w:p>
        </w:tc>
        <w:tc>
          <w:tcPr>
            <w:tcW w:w="50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Pre-Clearance Required for Trading by Restricted Persons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w:t>
      </w:r>
      <w:r>
        <w:rPr>
          <w:rFonts w:ascii="Times New Roman;Times;Serif" w:hAnsi="Times New Roman;Times;Serif"/>
          <w:b w:val="false"/>
          <w:i w:val="false"/>
          <w:caps w:val="false"/>
          <w:smallCaps w:val="false"/>
          <w:sz w:val="20"/>
          <w:u w:val="single"/>
        </w:rPr>
        <w:t>Restricted Persons</w:t>
      </w:r>
      <w:r>
        <w:rPr>
          <w:rFonts w:ascii="Times New Roman;Times;Serif" w:hAnsi="Times New Roman;Times;Serif"/>
          <w:b w:val="false"/>
          <w:i w:val="false"/>
          <w:caps w:val="false"/>
          <w:smallCaps w:val="false"/>
          <w:sz w:val="20"/>
        </w:rPr>
        <w:t xml:space="preserve"> must </w:t>
      </w:r>
      <w:r>
        <w:rPr>
          <w:rFonts w:ascii="Times New Roman;Times;Serif" w:hAnsi="Times New Roman;Times;Serif"/>
          <w:b w:val="false"/>
          <w:i w:val="false"/>
          <w:caps w:val="false"/>
          <w:smallCaps w:val="false"/>
          <w:sz w:val="20"/>
          <w:u w:val="single"/>
        </w:rPr>
        <w:t>pre-clear all transactions in Company securities</w:t>
      </w:r>
      <w:r>
        <w:rPr>
          <w:rFonts w:ascii="Times New Roman;Times;Serif" w:hAnsi="Times New Roman;Times;Serif"/>
          <w:b w:val="false"/>
          <w:i w:val="false"/>
          <w:caps w:val="false"/>
          <w:smallCaps w:val="false"/>
          <w:sz w:val="20"/>
        </w:rPr>
        <w:t xml:space="preserve"> as provided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Pre-Clearance of Transaction.</w:t>
            </w:r>
            <w:r>
              <w:rPr>
                <w:rFonts w:ascii="Times New Roman;Times;Serif" w:hAnsi="Times New Roman;Times;Serif"/>
                <w:b w:val="false"/>
                <w:i w:val="false"/>
                <w:caps w:val="false"/>
                <w:smallCaps w:val="false"/>
                <w:sz w:val="20"/>
              </w:rPr>
              <w:t xml:space="preserve"> Any Restricted Person proposing to effectuate a trade or other transaction in Company securities must notify the Compliance Officer and obtain pre-clearance for the transaction. This pre-clearance requirement expressly applies to any and all transactions in Company securities, including, without limitation, requests to purchase Company securities on margin, hold Company securities in a margin account, or pledge Company securities as collateral for a loan. Pre-clearance requests should be submitted in accordance with the instructions provided on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w:t>
            </w:r>
            <w:r>
              <w:rPr>
                <w:rFonts w:ascii="Times New Roman;Times;Serif" w:hAnsi="Times New Roman;Times;Serif"/>
                <w:b w:val="false"/>
                <w:i w:val="false"/>
                <w:caps w:val="false"/>
                <w:smallCaps w:val="false"/>
                <w:sz w:val="20"/>
              </w:rPr>
              <w:t xml:space="preserve"> The Restricted Person proposing to effectuate such trade or other transaction must certify to the Compliance Officer in writing that he or she is not in possession of material nonpublic information concerning the Company or its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Approval of Transaction.</w:t>
            </w:r>
            <w:r>
              <w:rPr>
                <w:rFonts w:ascii="Times New Roman;Times;Serif" w:hAnsi="Times New Roman;Times;Serif"/>
                <w:b w:val="false"/>
                <w:i w:val="false"/>
                <w:caps w:val="false"/>
                <w:smallCaps w:val="false"/>
                <w:sz w:val="20"/>
              </w:rPr>
              <w:t xml:space="preserve"> The Compliance Officer must approve or deny the proposed trade or other transaction in writing.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Subsequent Requests for Approval.</w:t>
            </w:r>
            <w:r>
              <w:rPr>
                <w:rFonts w:ascii="Times New Roman;Times;Serif" w:hAnsi="Times New Roman;Times;Serif"/>
                <w:b w:val="false"/>
                <w:i w:val="false"/>
                <w:caps w:val="false"/>
                <w:smallCaps w:val="false"/>
                <w:sz w:val="20"/>
              </w:rPr>
              <w:t xml:space="preserve"> If the proposed transaction is not completed within </w:t>
            </w:r>
            <w:r>
              <w:rPr>
                <w:rFonts w:ascii="Times New Roman;Times;Serif" w:hAnsi="Times New Roman;Times;Serif"/>
                <w:b w:val="false"/>
                <w:i w:val="false"/>
                <w:caps w:val="false"/>
                <w:smallCaps w:val="false"/>
                <w:sz w:val="20"/>
                <w:u w:val="single"/>
              </w:rPr>
              <w:t>two trading days</w:t>
            </w:r>
            <w:r>
              <w:rPr>
                <w:rFonts w:ascii="Times New Roman;Times;Serif" w:hAnsi="Times New Roman;Times;Serif"/>
                <w:b w:val="false"/>
                <w:i w:val="false"/>
                <w:caps w:val="false"/>
                <w:smallCaps w:val="false"/>
                <w:sz w:val="20"/>
              </w:rPr>
              <w:t xml:space="preserve"> after receiving clearance, clearance for the transaction (or any unfilled portion) must be re-requested following the pre-clearance procedure described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Compliance Officer Discretion.</w:t>
            </w:r>
            <w:r>
              <w:rPr>
                <w:rFonts w:ascii="Times New Roman;Times;Serif" w:hAnsi="Times New Roman;Times;Serif"/>
                <w:b w:val="false"/>
                <w:i w:val="false"/>
                <w:caps w:val="false"/>
                <w:smallCaps w:val="false"/>
                <w:sz w:val="20"/>
              </w:rPr>
              <w:t xml:space="preserve"> Any decision of the Compliance Officer regarding the approval or denial of a proposed trade or other transaction shall be final and binding on the Restricted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Carefully following the pre-clearance and certification requirements set forth above will make the pre-clearance process faster and more effective, and may assist you and the Company in avoiding inadvertent insider trading violations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15"/>
        <w:gridCol w:w="42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4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Blackout Periods Applicable to Restricted Persons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No Trading During Blackout Periods.</w:t>
      </w:r>
      <w:r>
        <w:rPr>
          <w:rFonts w:ascii="Times New Roman;Times;Serif" w:hAnsi="Times New Roman;Times;Serif"/>
          <w:b w:val="false"/>
          <w:i w:val="false"/>
          <w:caps w:val="false"/>
          <w:smallCaps w:val="false"/>
          <w:sz w:val="20"/>
        </w:rPr>
        <w:t xml:space="preserve"> No Restricted Person may trade or effectuate any other transactions in Company securities during any special blackout periods designated by the Compliance Officer (except for transactions effected pursuant to an approved 10b5-1 Trading Plan (see </w:t>
      </w:r>
      <w:r>
        <w:rPr>
          <w:rFonts w:ascii="Times New Roman;Times;Serif" w:hAnsi="Times New Roman;Times;Serif"/>
          <w:b/>
          <w:i w:val="false"/>
          <w:caps w:val="false"/>
          <w:smallCaps w:val="false"/>
          <w:sz w:val="20"/>
          <w:u w:val="single"/>
        </w:rPr>
        <w:t>Section XI</w:t>
      </w:r>
      <w:r>
        <w:rPr>
          <w:rFonts w:ascii="Times New Roman;Times;Serif" w:hAnsi="Times New Roman;Times;Serif"/>
          <w:b w:val="false"/>
          <w:i w:val="false"/>
          <w:caps w:val="false"/>
          <w:smallCaps w:val="false"/>
          <w:sz w:val="20"/>
        </w:rPr>
        <w:t xml:space="preserve"> below) or pursuant to a Hardship Exemption (see </w:t>
      </w:r>
      <w:r>
        <w:rPr>
          <w:rFonts w:ascii="Times New Roman;Times;Serif" w:hAnsi="Times New Roman;Times;Serif"/>
          <w:b/>
          <w:i w:val="false"/>
          <w:caps w:val="false"/>
          <w:smallCaps w:val="false"/>
          <w:sz w:val="20"/>
          <w:u w:val="single"/>
        </w:rPr>
        <w:t>Section X.C</w:t>
      </w:r>
      <w:r>
        <w:rPr>
          <w:rFonts w:ascii="Times New Roman;Times;Serif" w:hAnsi="Times New Roman;Times;Serif"/>
          <w:b w:val="false"/>
          <w:i w:val="false"/>
          <w:caps w:val="false"/>
          <w:smallCaps w:val="false"/>
          <w:sz w:val="20"/>
        </w:rPr>
        <w:t xml:space="preserve"> below) or the other limited exceptions described in </w:t>
      </w:r>
      <w:r>
        <w:rPr>
          <w:rFonts w:ascii="Times New Roman;Times;Serif" w:hAnsi="Times New Roman;Times;Serif"/>
          <w:b/>
          <w:i w:val="false"/>
          <w:caps w:val="false"/>
          <w:smallCaps w:val="false"/>
          <w:sz w:val="20"/>
          <w:u w:val="single"/>
        </w:rPr>
        <w:t>Section VI.B</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However, even during an open trading window, you may not trade in Company securities if you are in possession of material nonpublic information concerning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Special Blackout Periods.</w:t>
      </w:r>
      <w:r>
        <w:rPr>
          <w:rFonts w:ascii="Times New Roman;Times;Serif" w:hAnsi="Times New Roman;Times;Serif"/>
          <w:b w:val="false"/>
          <w:i w:val="false"/>
          <w:caps w:val="false"/>
          <w:smallCaps w:val="false"/>
          <w:sz w:val="20"/>
        </w:rPr>
        <w:t xml:space="preserve"> From time to time, the Compliance Officer may determine that trading in Company securities is inappropriate during an otherwise open trading window due to the existence, or potential existence, of material nonpublic information. Accordingly, the Compliance Officer may prohibit trading at any time by announcing a special blackout period, which announcement will address the scope of impacted persons. Any person to which a special blackout period applies shall be considered a “Restricted Person” under this Policy (for purposes of the special blackout period). The Compliance Officer’s determination that a special blackout period shall be imposed, and that a particular person shall be considered a Restricted Person for purposes of the special blackout period, shall be final and binding on the Restricted Person. The existence of a special blackout period shall be considered confidential information and Restricted Persons are prohibited from communicating the existence of a special blackout period to anyone who is not a Restricted Person.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Hardship Trading Exceptions.</w:t>
      </w:r>
      <w:r>
        <w:rPr>
          <w:rFonts w:ascii="Times New Roman;Times;Serif" w:hAnsi="Times New Roman;Times;Serif"/>
          <w:b w:val="false"/>
          <w:i w:val="false"/>
          <w:caps w:val="false"/>
          <w:smallCaps w:val="false"/>
          <w:sz w:val="20"/>
        </w:rPr>
        <w:t xml:space="preserve"> The Compliance Officer may, on a case-by-case basis, authorize trading in Company securities during a trading blackout period due to financial or other hardship. Any person wanting to rely on this exception must first notify the Compliance Officer in writing of the circumstance of the hardship and the amount and nature of the proposed trade or other transaction in Company securities. Such person will also be required to certify to the Compliance Officer in writing no earlier than </w:t>
      </w:r>
      <w:r>
        <w:rPr>
          <w:rFonts w:ascii="Times New Roman;Times;Serif" w:hAnsi="Times New Roman;Times;Serif"/>
          <w:b w:val="false"/>
          <w:i w:val="false"/>
          <w:caps w:val="false"/>
          <w:smallCaps w:val="false"/>
          <w:sz w:val="20"/>
          <w:u w:val="single"/>
        </w:rPr>
        <w:t>two trading days</w:t>
      </w:r>
      <w:r>
        <w:rPr>
          <w:rFonts w:ascii="Times New Roman;Times;Serif" w:hAnsi="Times New Roman;Times;Serif"/>
          <w:b w:val="false"/>
          <w:i w:val="false"/>
          <w:caps w:val="false"/>
          <w:smallCaps w:val="false"/>
          <w:sz w:val="20"/>
        </w:rPr>
        <w:t xml:space="preserve"> prior to the proposed trade or other transaction that he or she is not in possession of material nonpublic information concerning the Company or its securities. Upon authorization from the Compliance Officer, the person may effectuate the trade or other transaction, although such person will be responsible for ensuring that any such transaction complies in all other respects with the requirements of this Policy.</w:t>
      </w:r>
    </w:p>
    <w:p>
      <w:pPr>
        <w:pStyle w:val="TextBody"/>
        <w:bidi w:val="0"/>
        <w:spacing w:before="0" w:after="0"/>
        <w:ind w:left="720" w:right="0" w:hanging="72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90"/>
        <w:gridCol w:w="39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of Rule 10b5-1 Trading Plans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Rule 10b5-1 trading plan (“</w:t>
      </w:r>
      <w:r>
        <w:rPr>
          <w:rFonts w:ascii="Times New Roman;Times;Serif" w:hAnsi="Times New Roman;Times;Serif"/>
          <w:b/>
          <w:i/>
          <w:caps w:val="false"/>
          <w:smallCaps w:val="false"/>
          <w:sz w:val="20"/>
        </w:rPr>
        <w:t>Trading Plan</w:t>
      </w:r>
      <w:r>
        <w:rPr>
          <w:rFonts w:ascii="Times New Roman;Times;Serif" w:hAnsi="Times New Roman;Times;Serif"/>
          <w:b w:val="false"/>
          <w:i w:val="false"/>
          <w:caps w:val="false"/>
          <w:smallCaps w:val="false"/>
          <w:sz w:val="20"/>
        </w:rPr>
        <w:t>”) is a contract to purchase or sell securities according to a written instruction or plan established prior to effecting any transaction in the securities. In general, a Trading Plan must set forth a non-discretionary trading method by leaving the principal terms of the transaction, including the effective date of the transaction, the amount of securities involved in the transaction, and the price at which securities will be purchased or sold in the transaction, to either (i) a written specification, (ii) a written formula, or (iii) a third party. While adoption of a Trading Plan does not obviate the requirement to otherwise comply with insider trading laws, it does provide an affirmative defense to a claim that a person traded on the basis of material nonpublic information, even if the person was aware of such information at the time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adopted in good faith, a Trading Plan must be adopted when the person is not in possession of material nonpublic information, and the Trading Plan must also not be adopted as part of a scheme to fraudulently evade insider trading prohibitions. In addition, a Trading Plan may not be adopted during any trading blackout period, even if the person is not then in possession of any material nonpublic information. Any person who wishes to enter into a Trading Plan must obtain the prior written approval of the Compliance Officer. If the Compliance Officer wishes to enter into a Trading Plan, he or she must obtain the prior written approval of the Audit Committee. The Company requires that the selling start date under any Trading Plan must be </w:t>
      </w:r>
      <w:r>
        <w:rPr>
          <w:rFonts w:ascii="Times New Roman;Times;Serif" w:hAnsi="Times New Roman;Times;Serif"/>
          <w:b w:val="false"/>
          <w:i w:val="false"/>
          <w:caps w:val="false"/>
          <w:smallCaps w:val="false"/>
          <w:sz w:val="20"/>
          <w:u w:val="single"/>
        </w:rPr>
        <w:t>no sooner than 30 days</w:t>
      </w:r>
      <w:r>
        <w:rPr>
          <w:rFonts w:ascii="Times New Roman;Times;Serif" w:hAnsi="Times New Roman;Times;Serif"/>
          <w:b w:val="false"/>
          <w:i w:val="false"/>
          <w:caps w:val="false"/>
          <w:smallCaps w:val="false"/>
          <w:sz w:val="20"/>
        </w:rPr>
        <w:t xml:space="preserve"> after the date of adoption of the Trading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modifications to a Trading Plan must meet the same requirements as a new Trading Plan, including the requirement that the modification be adopted outside of any trading blackout period and when the adopting person is not in possession of material nonpublic information. The Company requires that the selling start date under the modified Trading Plan be </w:t>
      </w:r>
      <w:r>
        <w:rPr>
          <w:rFonts w:ascii="Times New Roman;Times;Serif" w:hAnsi="Times New Roman;Times;Serif"/>
          <w:b w:val="false"/>
          <w:i w:val="false"/>
          <w:caps w:val="false"/>
          <w:smallCaps w:val="false"/>
          <w:sz w:val="20"/>
          <w:u w:val="single"/>
        </w:rPr>
        <w:t>no sooner than 30 days</w:t>
      </w:r>
      <w:r>
        <w:rPr>
          <w:rFonts w:ascii="Times New Roman;Times;Serif" w:hAnsi="Times New Roman;Times;Serif"/>
          <w:b w:val="false"/>
          <w:i w:val="false"/>
          <w:caps w:val="false"/>
          <w:smallCaps w:val="false"/>
          <w:sz w:val="20"/>
        </w:rPr>
        <w:t xml:space="preserve"> after the effective date of the modification to the Trading Plan. While this Policy does not limit the ability of a person to terminate a previously adopted Trading Plan, any new Trading Plan adopted following the termination of a previously adopted Trading Plan cannot be adopted for </w:t>
      </w:r>
      <w:r>
        <w:rPr>
          <w:rFonts w:ascii="Times New Roman;Times;Serif" w:hAnsi="Times New Roman;Times;Serif"/>
          <w:b w:val="false"/>
          <w:i w:val="false"/>
          <w:caps w:val="false"/>
          <w:smallCaps w:val="false"/>
          <w:sz w:val="20"/>
          <w:u w:val="single"/>
        </w:rPr>
        <w:t>at least 30 days</w:t>
      </w:r>
      <w:r>
        <w:rPr>
          <w:rFonts w:ascii="Times New Roman;Times;Serif" w:hAnsi="Times New Roman;Times;Serif"/>
          <w:b w:val="false"/>
          <w:i w:val="false"/>
          <w:caps w:val="false"/>
          <w:smallCaps w:val="false"/>
          <w:sz w:val="20"/>
        </w:rPr>
        <w:t xml:space="preserve"> following the termination, and must otherwise meet the requirements for a new Trading Plan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transaction in Company securities effected under a Trading Plan that has been adopted in a manner consistent with the requirements of this </w:t>
      </w:r>
      <w:r>
        <w:rPr>
          <w:rFonts w:ascii="Times New Roman;Times;Serif" w:hAnsi="Times New Roman;Times;Serif"/>
          <w:b/>
          <w:i w:val="false"/>
          <w:caps w:val="false"/>
          <w:smallCaps w:val="false"/>
          <w:sz w:val="20"/>
          <w:u w:val="single"/>
        </w:rPr>
        <w:t>Section IX</w:t>
      </w:r>
      <w:r>
        <w:rPr>
          <w:rFonts w:ascii="Times New Roman;Times;Serif" w:hAnsi="Times New Roman;Times;Serif"/>
          <w:b w:val="false"/>
          <w:i w:val="false"/>
          <w:caps w:val="false"/>
          <w:smallCaps w:val="false"/>
          <w:sz w:val="20"/>
        </w:rPr>
        <w:t xml:space="preserve"> will not require further pre-clearance at the time of the transaction, and will not be subject to future trading blackout periods under this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transaction in Company securities made pursuant to a Trading Plan </w:t>
      </w:r>
      <w:r>
        <w:rPr>
          <w:rFonts w:ascii="Times New Roman;Times;Serif" w:hAnsi="Times New Roman;Times;Serif"/>
          <w:b w:val="false"/>
          <w:i w:val="false"/>
          <w:caps w:val="false"/>
          <w:smallCaps w:val="false"/>
          <w:sz w:val="20"/>
          <w:u w:val="single"/>
        </w:rPr>
        <w:t>must still comply</w:t>
      </w:r>
      <w:r>
        <w:rPr>
          <w:rFonts w:ascii="Times New Roman;Times;Serif" w:hAnsi="Times New Roman;Times;Serif"/>
          <w:b w:val="false"/>
          <w:i w:val="false"/>
          <w:caps w:val="false"/>
          <w:smallCaps w:val="false"/>
          <w:sz w:val="20"/>
        </w:rPr>
        <w:t xml:space="preserve"> with any applicable reporting requirements under federal and state securities laws, including the requirement to make filings with the SEC pursuant to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through August 10, 2021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certify that:</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and understand the Insider Trading Policy to which this Certification is attached.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effective date of the Insider Trading Policy, or such shorter period of time that I have been a director, officer, employee, independent contractor or agent of the Company, I have complied in all respects with the Insider Trading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 continue to comply with the Insider Trading Policy for as long as I am a director, officer, employee, independent contractor or agent of the Company. Upon the termination of my employment with (or cessation of service to) the Company, I will continue to comply with the Insider Trading Policy until such time as I am no longer in possession of inside information about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that the Compliance Officer is available to answer any questions I may have regarding the Insider Trading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that insider trading is a crime, may subject me to serious financial penalties and termination of employment, and is strictly prohibited by the Insider Trading Policy.</w:t>
            </w:r>
          </w:p>
        </w:tc>
      </w:tr>
    </w:tbl>
    <w:p>
      <w:pPr>
        <w:pStyle w:val="TextBody"/>
        <w:bidi w:val="0"/>
        <w:spacing w:before="0" w:after="0"/>
        <w:ind w:left="1440" w:right="0" w:hanging="720"/>
        <w:jc w:val="left"/>
        <w:rPr>
          <w:caps w:val="false"/>
          <w:smallCaps w:val="false"/>
        </w:rPr>
      </w:pPr>
      <w:r>
        <w:rPr>
          <w:caps w:val="false"/>
          <w:smallCaps w:val="false"/>
        </w:rPr>
        <w:t> </w:t>
      </w:r>
    </w:p>
    <w:tbl>
      <w:tblPr>
        <w:tblW w:w="1205" w:type="dxa"/>
        <w:jc w:val="left"/>
        <w:tblInd w:w="0" w:type="dxa"/>
        <w:tblLayout w:type="fixed"/>
        <w:tblCellMar>
          <w:top w:w="0" w:type="dxa"/>
          <w:left w:w="0" w:type="dxa"/>
          <w:bottom w:w="28" w:type="dxa"/>
          <w:right w:w="0" w:type="dxa"/>
        </w:tblCellMar>
      </w:tblPr>
      <w:tblGrid>
        <w:gridCol w:w="1130"/>
        <w:gridCol w:w="75"/>
      </w:tblGrid>
      <w:tr>
        <w:trPr/>
        <w:tc>
          <w:tcPr>
            <w:tcW w:w="113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80" w:type="dxa"/>
        <w:jc w:val="left"/>
        <w:tblInd w:w="0" w:type="dxa"/>
        <w:tblLayout w:type="fixed"/>
        <w:tblCellMar>
          <w:top w:w="0" w:type="dxa"/>
          <w:left w:w="0" w:type="dxa"/>
          <w:bottom w:w="0" w:type="dxa"/>
          <w:right w:w="0" w:type="dxa"/>
        </w:tblCellMar>
      </w:tblPr>
      <w:tblGrid>
        <w:gridCol w:w="980"/>
      </w:tblGrid>
      <w:tr>
        <w:trPr/>
        <w:tc>
          <w:tcPr>
            <w:tcW w:w="980" w:type="dxa"/>
            <w:tcBorders/>
            <w:vAlign w:val="center"/>
          </w:tcPr>
          <w:p>
            <w:pPr>
              <w:pStyle w:val="TableContents"/>
              <w:bidi w:val="0"/>
              <w:spacing w:before="0" w:after="283"/>
              <w:jc w:val="center"/>
              <w:rPr/>
            </w:pPr>
            <w:r>
              <w:rPr/>
              <w:t>Exhibit A</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PRE-CLEARANCE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Pre-clearance before trading for all Restricted Persons is mandatory. Please request pre- clearance by sending an email, as described below, to the Compliance Officer at compliance@aixcrypto.ai. If you have any questions about the process by which pre-clearance must be obtained or need information to complete your request, please contact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Instructions for Pre-Clearance of Transactions in Company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follow this format when you send your email to compliance@aixcrypto.ai.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4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purchasing or selling shares on the open market, place the following in the subject line of your email, as applicable: “Pre-Clearance Request - Purchase of Shares” or “Pre-Clearance Request - Sale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body of the email should contain the following:</w:t>
      </w:r>
    </w:p>
    <w:p>
      <w:pPr>
        <w:pStyle w:val="TextBody"/>
        <w:bidi w:val="0"/>
        <w:spacing w:before="0" w:after="0"/>
        <w:ind w:left="1440" w:right="0" w:hanging="72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(or dollar value) of shares that you want to purchase or sell;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sale, the source and purchase date of the shares proposed to be sold;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Estimated purchase or sale date (which must be completed within </w:t>
            </w:r>
            <w:r>
              <w:rPr>
                <w:rFonts w:ascii="Times New Roman;Times;Serif" w:hAnsi="Times New Roman;Times;Serif"/>
                <w:b w:val="false"/>
                <w:i w:val="false"/>
                <w:caps w:val="false"/>
                <w:smallCaps w:val="false"/>
                <w:sz w:val="20"/>
                <w:u w:val="single"/>
              </w:rPr>
              <w:t>two trading days</w:t>
            </w:r>
            <w:r>
              <w:rPr>
                <w:rFonts w:ascii="Times New Roman;Times;Serif" w:hAnsi="Times New Roman;Times;Serif"/>
                <w:b w:val="false"/>
                <w:i w:val="false"/>
                <w:caps w:val="false"/>
                <w:smallCaps w:val="false"/>
                <w:sz w:val="20"/>
              </w:rPr>
              <w:t xml:space="preserve"> of receiving trading approval).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2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exercising options, place the following in the subject line of your email: “Pre- Clearance Request - Exercise of Options”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body of the email should contain the following:</w:t>
      </w:r>
    </w:p>
    <w:p>
      <w:pPr>
        <w:pStyle w:val="TextBody"/>
        <w:bidi w:val="0"/>
        <w:spacing w:before="0" w:after="0"/>
        <w:ind w:left="1440" w:right="0" w:hanging="72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number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that you are interested in exercising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sale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Exercising and Selling” or “Exercising and Holding”</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requesting to enter into any other transactions in Company securities, place the following in the subject line of your email: “Pre-Clearance Request – Other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body of the email should contain the following:</w:t>
      </w:r>
    </w:p>
    <w:p>
      <w:pPr>
        <w:pStyle w:val="TextBody"/>
        <w:bidi w:val="0"/>
        <w:spacing w:before="0" w:after="0"/>
        <w:ind w:left="1440" w:right="0" w:hanging="72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Brief description of transaction (e.g., pledge of shares for loan)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involved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date of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material terms of proposed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Pre-Clearance Requests must contain the following representation: “</w:t>
      </w:r>
      <w:r>
        <w:rPr>
          <w:rFonts w:ascii="Times New Roman;Times;Serif" w:hAnsi="Times New Roman;Times;Serif"/>
          <w:b/>
          <w:i w:val="false"/>
          <w:caps w:val="false"/>
          <w:smallCaps w:val="false"/>
          <w:sz w:val="20"/>
        </w:rPr>
        <w:t>I represent that I am not in possession of material nonpublic information concerning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that the ultimate responsibility for compliance with the federal and state securities laws rests with you, and that the clearance of any proposed transaction should not be construed as a guarantee that you will not later be found to have been in possession of material nonpublic information or to have violated applicable law in connection with any particular transaction in Company securities.</w:t>
      </w:r>
    </w:p>
    <w:p>
      <w:pPr>
        <w:pStyle w:val="TextBody"/>
        <w:bidi w:val="0"/>
        <w:spacing w:before="0" w:after="0"/>
        <w:ind w:left="0" w:right="0" w:hanging="0"/>
        <w:jc w:val="both"/>
        <w:rPr>
          <w:caps w:val="false"/>
          <w:smallCaps w:val="false"/>
        </w:rPr>
      </w:pPr>
      <w:r>
        <w:rPr>
          <w:caps w:val="false"/>
          <w:smallCaps w:val="false"/>
        </w:rPr>
        <w:t> </w:t>
      </w:r>
    </w:p>
    <w:tbl>
      <w:tblPr>
        <w:tblW w:w="965" w:type="dxa"/>
        <w:jc w:val="left"/>
        <w:tblInd w:w="0" w:type="dxa"/>
        <w:tblLayout w:type="fixed"/>
        <w:tblCellMar>
          <w:top w:w="0" w:type="dxa"/>
          <w:left w:w="0" w:type="dxa"/>
          <w:bottom w:w="0" w:type="dxa"/>
          <w:right w:w="0" w:type="dxa"/>
        </w:tblCellMar>
      </w:tblPr>
      <w:tblGrid>
        <w:gridCol w:w="965"/>
      </w:tblGrid>
      <w:tr>
        <w:trPr/>
        <w:tc>
          <w:tcPr>
            <w:tcW w:w="965" w:type="dxa"/>
            <w:tcBorders/>
            <w:vAlign w:val="center"/>
          </w:tcPr>
          <w:p>
            <w:pPr>
              <w:pStyle w:val="TableContents"/>
              <w:bidi w:val="0"/>
              <w:spacing w:before="0" w:after="283"/>
              <w:jc w:val="center"/>
              <w:rPr/>
            </w:pPr>
            <w:r>
              <w:rPr/>
              <w:t>Exhibit 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76" w:name="ex21-1.htm"/>
      <w:bookmarkStart w:id="1377" w:name="ksex211"/>
      <w:bookmarkEnd w:id="1376"/>
      <w:bookmarkEnd w:id="137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378" w:name="ex23-1.htm"/>
      <w:bookmarkStart w:id="1379" w:name="ksex231"/>
      <w:bookmarkEnd w:id="1378"/>
      <w:bookmarkEnd w:id="137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S-1 (No. 333-283708, 333-290306, and 333-291926), Form S-3 (File No. 333-265691, and 333-269088) and Form S-8 (File No. 333-249280, 333-249281, and 333-262090) of AIxCrypto Holdings, Inc. (the “Company”) of our report dated March 30, 2026 relating to the balance sheet of the Company as of December 31, 2025, and the related consolidated statements of operations and comprehensive loss, changes in stockholders’ deficit, and cash flows for the year then ended, and the related notes, included in AIxCrypto Holdings,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of HTL International, LLC, as an independent registered public accounting firm, as expert in matters of accounting and auditing.</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2210"/>
        <w:gridCol w:w="75"/>
      </w:tblGrid>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80" w:name="ex23-2.htm"/>
      <w:bookmarkStart w:id="1381" w:name="ksex232"/>
      <w:bookmarkEnd w:id="1380"/>
      <w:bookmarkEnd w:id="138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S-1 (File Nos. 333-283708, 333-290306, and 333-291926), Form S-3 (File Nos. 333-265691 and 333-269088) and Form S-8 (File Nos. 333-249280, 333-249281, and 333-262090) of AIxCrypto Holdings, Inc. (formerly known as Qualigen Therapeutics, Inc.) of our report dated June 30, 2025, relating to the consolidated financial statements of AIxCrypto Holdings, Inc. as of and for the year ended December 31, 2024, which appears in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82" w:name="ex31-1.htm"/>
      <w:bookmarkStart w:id="1383" w:name="ksex311"/>
      <w:bookmarkEnd w:id="1382"/>
      <w:bookmarkEnd w:id="138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r>
        <w:rPr>
          <w:rFonts w:ascii="Times New Roman;Times;Serif" w:hAnsi="Times New Roman;Times;Serif"/>
          <w:b/>
          <w:i w:val="false"/>
          <w:caps w:val="false"/>
          <w:smallCaps w:val="false"/>
          <w:sz w:val="20"/>
        </w:rPr>
        <w:t>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Kevin Richardson II, certify that:</w:t>
      </w:r>
    </w:p>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185"/>
        <w:gridCol w:w="840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AIxCrypto Holdings, Inc., a Delaware corporation;</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with generally accepted accounting principles;</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979" w:right="0" w:hanging="490"/>
        <w:jc w:val="both"/>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1325"/>
        <w:gridCol w:w="545"/>
        <w:gridCol w:w="3290"/>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Richardson II</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Richardson II</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Chief Executive Officer and Director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1384" w:name="ex31-2.htm"/>
      <w:bookmarkStart w:id="1385" w:name="ksex312"/>
      <w:bookmarkEnd w:id="1384"/>
      <w:bookmarkEnd w:id="138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Koti Meka, certify that:</w:t>
      </w:r>
    </w:p>
    <w:p>
      <w:pPr>
        <w:pStyle w:val="TextBody"/>
        <w:bidi w:val="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85"/>
        <w:gridCol w:w="833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AIxCrypto Holdings, Inc., a Delaware corporation;</w:t>
            </w:r>
          </w:p>
        </w:tc>
      </w:tr>
    </w:tbl>
    <w:p>
      <w:pPr>
        <w:pStyle w:val="TextBody"/>
        <w:bidi w:val="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p>
      <w:pPr>
        <w:pStyle w:val="TextBody"/>
        <w:bidi w:val="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with generally accepted accounting principles;</w:t>
            </w:r>
          </w:p>
        </w:tc>
      </w:tr>
    </w:tbl>
    <w:p>
      <w:pPr>
        <w:pStyle w:val="TextBody"/>
        <w:bidi w:val="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ind w:left="979" w:right="0" w:hanging="490"/>
        <w:jc w:val="both"/>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1325"/>
        <w:gridCol w:w="545"/>
        <w:gridCol w:w="294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pPr>
      <w:bookmarkStart w:id="1386" w:name="ex31-3.htm"/>
      <w:bookmarkStart w:id="1387" w:name="ksex313"/>
      <w:bookmarkEnd w:id="1386"/>
      <w:bookmarkEnd w:id="138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Jerry Wang, certify that:</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85"/>
        <w:gridCol w:w="833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AIxCrypto Holdings, Inc., a Delaware corporation;</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with generally accepted accounting principles;</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49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979" w:right="0" w:hanging="49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1325"/>
        <w:gridCol w:w="545"/>
        <w:gridCol w:w="4610"/>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Chief Executive Officer (Principal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88" w:name="ex32-1.htm"/>
      <w:bookmarkStart w:id="1389" w:name="ksex321"/>
      <w:bookmarkEnd w:id="1388"/>
      <w:bookmarkEnd w:id="138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 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Koti Meka, Co Chief Financial Officer of AIxCrypto Holdings, Inc., a Delaware corporation (the “Company”), Jerry Wang, Co-Chief Executive Officer and Director of the Company, and Kevin Richardson II, Co-Chief Executive Officer and Director of the Company, do hereby certify, pursuant to 18 U.S.C. Section 1350 as adopted pursuant to Section 906 of the Sarbanes-Oxley Act of 2002, that, to his knowledge (1) the Annual Report on Form 10-K of the Company for the year ended December 31, 2024, as filed with the Securities and Exchange Commission on the date hereof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545"/>
        <w:gridCol w:w="5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Richardson II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Richardson II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-Chief Executive Officer and Director (Principal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Chief Executive Officer (Principal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certifications accompanying and being “furnished” with this Report, shall not be deemed “filed” by the Company for purposes of Section 18 of the Securities Exchange Act of 1934, as amended, or otherwise subject to liability under that Section and shall not be deemed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90" w:name="ex97-1.htm"/>
      <w:bookmarkStart w:id="1391" w:name="ksex971"/>
      <w:bookmarkEnd w:id="1390"/>
      <w:bookmarkEnd w:id="139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CLAWBACK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QUALIGEN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Qualigen Therapeutics, Inc. (the “Company”) is establishing this policy to align the interests of executive officers of the Company with those of shareholders, to create and maintain a culture that emphasizes integrity and accountability and to enforce the Company’s pay-for-performance compensation philosophy. This policy provides for the recoupment of certain executive compensation in the event of an accounting restatement resulting from material noncompliance with financial reporting requirements under the federal securities laws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This Policy is designed to comply with Section 10D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Rule 10D-1 promulgated under the Exchange Act (“</w:t>
      </w:r>
      <w:r>
        <w:rPr>
          <w:rFonts w:ascii="Times New Roman;Times;Serif" w:hAnsi="Times New Roman;Times;Serif"/>
          <w:b/>
          <w:i w:val="false"/>
          <w:caps w:val="false"/>
          <w:smallCaps w:val="false"/>
          <w:sz w:val="20"/>
        </w:rPr>
        <w:t>Rule 10D-1</w:t>
      </w:r>
      <w:r>
        <w:rPr>
          <w:rFonts w:ascii="Times New Roman;Times;Serif" w:hAnsi="Times New Roman;Times;Serif"/>
          <w:b w:val="false"/>
          <w:i w:val="false"/>
          <w:caps w:val="false"/>
          <w:smallCaps w:val="false"/>
          <w:sz w:val="20"/>
        </w:rPr>
        <w:t>”), and Nasdaq Listing Rule 5608 (the “</w:t>
      </w:r>
      <w:r>
        <w:rPr>
          <w:rFonts w:ascii="Times New Roman;Times;Serif" w:hAnsi="Times New Roman;Times;Serif"/>
          <w:b/>
          <w:i w:val="false"/>
          <w:caps w:val="false"/>
          <w:smallCaps w:val="false"/>
          <w:sz w:val="20"/>
        </w:rPr>
        <w:t>Listing Standards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the Company or, if so designated by the Board, a committee thereof including the Compensation Committee, in which case references herein to the Board shall be deemed references to such committee. The Board is authorized to interpret and construe this Policy and to make all determinations and rules as it deems to be necessary or advisable for its administration. It is intended that this Policy be interpreted in a manner that is consistent with the requirements of Section 10D of the Exchange Act and any applicable rules or standards adopted by the Securities and Exchange Commission or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Any determinations made by the Board shall be final and binding on all affected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Covered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executive officers, as determined by the Board in accordance with Section 10D of the Exchange Act, the definition of executive officer set forth in Rule 10D-1 and the Listing Standards (“</w:t>
      </w:r>
      <w:r>
        <w:rPr>
          <w:rFonts w:ascii="Times New Roman;Times;Serif" w:hAnsi="Times New Roman;Times;Serif"/>
          <w:b/>
          <w:i w:val="false"/>
          <w:caps w:val="false"/>
          <w:smallCaps w:val="false"/>
          <w:sz w:val="20"/>
        </w:rPr>
        <w:t>Covered Executives</w:t>
      </w:r>
      <w:r>
        <w:rPr>
          <w:rFonts w:ascii="Times New Roman;Times;Serif" w:hAnsi="Times New Roman;Times;Serif"/>
          <w:b w:val="false"/>
          <w:i w:val="false"/>
          <w:caps w:val="false"/>
          <w:smallCaps w:val="false"/>
          <w:sz w:val="20"/>
        </w:rPr>
        <w:t>”), and such other employees who may from time to time be deemed subject to the Policy by the Board. For this purpose, an “executive officer” includes the Company’s president, principal financial officer, principal accounting officer (or controller), any vice president in charge of a principal business unit, division or function or any other officer or person who performs a “policy-making” function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Recoupment;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prepare an Accounting Restatement, as defined herein, the Board will promptly require reimbursement or forfeiture of any Excess Incentive Compensation, as defined herein, received by any Covered Executive during the three completed fiscal years immediately preceding the date on which the Company is required to prepare an Accounting Restatement, and including any transition period (that results from a change in the Company’s fiscal year) within or immediately following those three completed fiscal years, except that a transition period comprising a period of at least nine months shall count as a full fiscal year. The Policy applies to all Incentive-Based Compensation received by a Covered Executive (i) after beginning service as an executive officer; (ii) who served as an executive officer at any time during the performance period for that Incentive-Based Compensation; and (iii) while the Company has a listed class of securities. Recovery of amounts under this Policy with respect to a Covered Executive shall not require the finding of any misconduct by such Covered Executive or that such Covered Executive is responsible for any error associated with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an “</w:t>
      </w:r>
      <w:r>
        <w:rPr>
          <w:rFonts w:ascii="Times New Roman;Times;Serif" w:hAnsi="Times New Roman;Times;Serif"/>
          <w:b/>
          <w:i w:val="false"/>
          <w:caps w:val="false"/>
          <w:smallCaps w:val="false"/>
          <w:sz w:val="20"/>
        </w:rPr>
        <w:t>Accounting Restatement</w:t>
      </w:r>
      <w:r>
        <w:rPr>
          <w:rFonts w:ascii="Times New Roman;Times;Serif" w:hAnsi="Times New Roman;Times;Serif"/>
          <w:b w:val="false"/>
          <w:i w:val="false"/>
          <w:caps w:val="false"/>
          <w:smallCaps w:val="false"/>
          <w:sz w:val="20"/>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Also for purposes of this Policy, the date on which the Company is required to prepare an accounting restatement is the earlier of (i) the date the Board concludes, or reasonably should have concluded, that the Company is required to prepare an Accounting Restatement; or (ii) the date a court, regulator, or other legally authorized body directs the Company to prepare an Accounting Restatement, in each case regardless of whether or when the restated financial statements are filed.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Excess Incentive Compensation: Amount Subject to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subject to recovery (the “</w:t>
      </w:r>
      <w:r>
        <w:rPr>
          <w:rFonts w:ascii="Times New Roman;Times;Serif" w:hAnsi="Times New Roman;Times;Serif"/>
          <w:b/>
          <w:i w:val="false"/>
          <w:caps w:val="false"/>
          <w:smallCaps w:val="false"/>
          <w:sz w:val="20"/>
        </w:rPr>
        <w:t>Excess Incentive Compensation</w:t>
      </w:r>
      <w:r>
        <w:rPr>
          <w:rFonts w:ascii="Times New Roman;Times;Serif" w:hAnsi="Times New Roman;Times;Serif"/>
          <w:b w:val="false"/>
          <w:i w:val="false"/>
          <w:caps w:val="false"/>
          <w:smallCaps w:val="false"/>
          <w:sz w:val="20"/>
        </w:rPr>
        <w:t>”) is the excess of the Incentive-Based Compensation paid to the Covered Executive based on the erroneous data over the Incentive-Based Compensation that would have been paid to the Covered Executive had it been based on the restated results. Excess Incentive Compensation shall be determined by the Board without regard to any taxes paid by the Covered Executive with respect to the Excess 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Incentive-Based Compensation based on stock price or total shareholder return: (i) the Board shall determine the amount of the Excess Incentive Compensation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Incentive-Based Compensation</w:t>
      </w:r>
      <w:r>
        <w:rPr>
          <w:rFonts w:ascii="Times New Roman;Times;Serif" w:hAnsi="Times New Roman;Times;Serif"/>
          <w:b w:val="false"/>
          <w:i w:val="false"/>
          <w:caps w:val="false"/>
          <w:smallCaps w:val="false"/>
          <w:sz w:val="20"/>
        </w:rPr>
        <w:t>” means any compensation that is granted, earned, or vested 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Financial Reporting Measure</w:t>
      </w:r>
      <w:r>
        <w:rPr>
          <w:rFonts w:ascii="Times New Roman;Times;Serif" w:hAnsi="Times New Roman;Times;Serif"/>
          <w:b w:val="false"/>
          <w:i w:val="false"/>
          <w:caps w:val="false"/>
          <w:smallCaps w:val="false"/>
          <w:sz w:val="20"/>
        </w:rPr>
        <w:t>” means any measure that is determined and presented in accordance with the accounting principles used in preparing the Company’s financial statements, and any measure that is derived in whole or in part from such measure. For purposes of this Policy, Financial Reporting Measures include, but are not limited to, the following, and any measures derived from the following: revenues; earnings before interest, taxes, depreciation and amortization; net income; Company stock price; and total shareholder return. A Financial Reporting Measure need not be presented within the Company’s financial statements or included in a filing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Method of Recoupment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determine, in its sole discretion, the timing and method for promptly recouping Excess Incentive Compensation, which may include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seeking reimbursement of all or part of any cash or equity Incentive-Based Compensation previously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seeking recovery of any gain realized on the vesting, exercise, settlement, sale, transfer, or other disposition of any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cancelling prior cash or equity-based awards, whether vested or unvested or paid or unpaid,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cancelling or offsetting against any planned future cash or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forfeiture of deferred compensation, subject to compliance with Section 409A of the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the regulations promulgated thereunder,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method authorized by applicable law or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any applicable law, the Board may recover amounts under this Policy from any amount otherwise payable to the Covered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and directed pursuant to this Policy to recoup Excess Incentive Compensation in compliance with this Policy unless the Compensation Committee of the Board has determined that recovery would be impracticable solely for the following limited reasons, and subject to the following procedural and disclosure requirements: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expense paid to a third party to assist in enforcing the Policy would exceed the amount to be recovered; provided that prior to concluding that it would be impracticable to recover any amount of Excess Incentive Compensation based on expense of enforcement, the Board must make a reasonable attempt to recover such erroneously awarded compensation, document such reasonable attempt(s) to recover and provide that documentation to Nasdaq;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would likely cause an otherwise tax-qualified retirement plan, under which benefits are broadly available to employees of the Company, to fail to meet the requirements of 26 U.S.C. 401(a)(13) or 26 U.S.C. 411(a) and regulations thereunder.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Indemnification of Covered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Executives against the loss of any incorrectly awarded Excess Incentive Compensation. The Company is prohibited from paying or reimbursing a Covered Executive for purchasing insurance to cover any such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Board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members of the Board or its delegates shall not be personally liable for any action, determination or interpretation made with respect to this Policy and shall be fully indemnified by the Company to the fullest extent under applicable law and Company organizational documents and policy with respect to any such action, determination or interpretation. The foregoing sentence shall not limit any other rights to indemnification of the members of the Board or its delegates under applicable law or Company organizational documents and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the effective date of the Listing Standards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The terms of this Policy shall apply to any Incentive-Based Compensation that is received by Covered Executives on or after the Effective Date and during the applicable clawback period described herein, even if such Incentive-Based Compensation was approved, awarded, granted or paid to Covered Executives prior to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this Policy from time to time in its discretion and shall amend this Policy as it deems necessary to reflect final regulations adopted by the Securities and Exchange Commission under Section 10D of the Exchange Act, to comply with any rules or standards adopted by Nasdaq, and to comply with (or maintain an exemption from the application of) Section 409A of the Code. The Board may terminate this Policy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Recoupment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Severability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and all rights and obligations hereunder are governed by and construed in accordance with the internal laws of the State of Delaware, excluding any choice of law rules or principles that may direct the application of the laws of another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Executives and their beneficiaries, heirs, executors, administrators or other legal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Filing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this Policy and any amendments thereto shall be posted on the Company’s website and filed as an exhibit to the Company’s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SIGNATURE BY THE COMPANY’S COVERED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Clawback Policy Acknowledgment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agree and acknowledge that I am fully bound by, and subject to, all of the terms and conditions of the Clawback Policy (as may be amended, restated, supplemented or otherwise modified from time to time,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Board, or such committee thereof that is charged with administration of the Policy,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20"/>
        <w:gridCol w:w="60"/>
        <w:gridCol w:w="60"/>
        <w:gridCol w:w="455"/>
        <w:gridCol w:w="75"/>
      </w:tblGrid>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0702/000149315223025606/ex2-1.htm" TargetMode="External"/><Relationship Id="rId3" Type="http://schemas.openxmlformats.org/officeDocument/2006/relationships/hyperlink" Target="https://www.sec.gov/Archives/edgar/data/1460702/000157104915005411/t1501532_ex3-1.htm" TargetMode="External"/><Relationship Id="rId4" Type="http://schemas.openxmlformats.org/officeDocument/2006/relationships/hyperlink" Target="https://www.sec.gov/Archives/edgar/data/1460702/000149315217010647/ex3-1.htm" TargetMode="External"/><Relationship Id="rId5" Type="http://schemas.openxmlformats.org/officeDocument/2006/relationships/hyperlink" Target="https://www.sec.gov/Archives/edgar/data/1460702/000149315218003738/ex3-1.htm" TargetMode="External"/><Relationship Id="rId6" Type="http://schemas.openxmlformats.org/officeDocument/2006/relationships/hyperlink" Target="https://www.sec.gov/Archives/edgar/data/1460702/000149315220010166/ex3-1.htm" TargetMode="External"/><Relationship Id="rId7" Type="http://schemas.openxmlformats.org/officeDocument/2006/relationships/hyperlink" Target="https://www.sec.gov/Archives/edgar/data/1460702/000149315220010166/ex3-2.htm" TargetMode="External"/><Relationship Id="rId8" Type="http://schemas.openxmlformats.org/officeDocument/2006/relationships/hyperlink" Target="https://www.sec.gov/Archives/edgar/data/1460702/000149315220010166/ex3-3.htm" TargetMode="External"/><Relationship Id="rId9" Type="http://schemas.openxmlformats.org/officeDocument/2006/relationships/hyperlink" Target="https://www.sec.gov/Archives/edgar/data/1460702/000149315220010166/ex3-4.htm" TargetMode="External"/><Relationship Id="rId10" Type="http://schemas.openxmlformats.org/officeDocument/2006/relationships/hyperlink" Target="https://www.sec.gov/Archives/edgar/data/1460702/000149315221019709/ex3-1.htm" TargetMode="External"/><Relationship Id="rId11" Type="http://schemas.openxmlformats.org/officeDocument/2006/relationships/hyperlink" Target="https://www.sec.gov/Archives/edgar/data/1460702/000149315222033252/ex3-1.htm" TargetMode="External"/><Relationship Id="rId12" Type="http://schemas.openxmlformats.org/officeDocument/2006/relationships/hyperlink" Target="https://www.sec.gov/Archives/edgar/data/1460702/000149315224043352/ex3-1.htm" TargetMode="External"/><Relationship Id="rId13" Type="http://schemas.openxmlformats.org/officeDocument/2006/relationships/hyperlink" Target="https://www.sec.gov/Archives/edgar/data/1460702/000164117225021174/ex3-1.htm" TargetMode="External"/><Relationship Id="rId14" Type="http://schemas.openxmlformats.org/officeDocument/2006/relationships/hyperlink" Target="https://www.sec.gov/Archives/edgar/data/1460702/000149315225023728/ex3-1.htm" TargetMode="External"/><Relationship Id="rId15" Type="http://schemas.openxmlformats.org/officeDocument/2006/relationships/hyperlink" Target="https://www.sec.gov/Archives/edgar/data/1460702/000149315223024027/ex4-9.htm" TargetMode="External"/><Relationship Id="rId16" Type="http://schemas.openxmlformats.org/officeDocument/2006/relationships/hyperlink" Target="https://www.sec.gov/Archives/edgar/data/1460702/000149315222036302/ex10-1.htm" TargetMode="External"/><Relationship Id="rId17" Type="http://schemas.openxmlformats.org/officeDocument/2006/relationships/hyperlink" Target="https://www.sec.gov/Archives/edgar/data/1460702/000149315222036302/ex10-2.htm" TargetMode="External"/><Relationship Id="rId18" Type="http://schemas.openxmlformats.org/officeDocument/2006/relationships/hyperlink" Target="https://www.sec.gov/Archives/edgar/data/1460702/000149315222036302/ex10-3.htm" TargetMode="External"/><Relationship Id="rId19" Type="http://schemas.openxmlformats.org/officeDocument/2006/relationships/hyperlink" Target="https://www.sec.gov/Archives/edgar/data/1460702/000149315223015184/ex10-31.htm" TargetMode="External"/><Relationship Id="rId20" Type="http://schemas.openxmlformats.org/officeDocument/2006/relationships/hyperlink" Target="https://www.sec.gov/Archives/edgar/data/1460702/000149315223015184/ex10-32.htm" TargetMode="External"/><Relationship Id="rId21" Type="http://schemas.openxmlformats.org/officeDocument/2006/relationships/hyperlink" Target="https://www.sec.gov/Archives/edgar/data/1460702/000149315223015184/ex10-33.htm" TargetMode="External"/><Relationship Id="rId22" Type="http://schemas.openxmlformats.org/officeDocument/2006/relationships/hyperlink" Target="https://www.sec.gov/Archives/edgar/data/1460702/000149315223044019/ex10-1.htm" TargetMode="External"/><Relationship Id="rId23" Type="http://schemas.openxmlformats.org/officeDocument/2006/relationships/hyperlink" Target="https://www.sec.gov/Archives/edgar/data/1460702/000149315223025606/ex10-1.htm" TargetMode="External"/><Relationship Id="rId24" Type="http://schemas.openxmlformats.org/officeDocument/2006/relationships/hyperlink" Target="https://www.sec.gov/Archives/edgar/data/1460702/000149315223028465/ex10-1.htm" TargetMode="External"/><Relationship Id="rId25" Type="http://schemas.openxmlformats.org/officeDocument/2006/relationships/hyperlink" Target="https://www.sec.gov/Archives/edgar/data/1460702/000149315220010166/ex14-1.htm" TargetMode="External"/><Relationship Id="rId26" Type="http://schemas.openxmlformats.org/officeDocument/2006/relationships/hyperlink" Target="https://www.sec.gov/Archives/edgar/data/1460702/000149315225014965/ex10-2.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52170</Words>
  <Characters>291643</Characters>
  <CharactersWithSpaces>346889</CharactersWithSpaces>
  <Paragraphs>10295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