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B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F_edei--DocumentPeriodEndDate_c202"/>
      <w:bookmarkEnd w:id="4"/>
      <w:r>
        <w:rPr>
          <w:rFonts w:ascii="Times New Roman;Times;Serif" w:hAnsi="Times New Roman;Times;Serif"/>
          <w:b w:val="false"/>
          <w:i w:val="false"/>
          <w:caps w:val="false"/>
          <w:smallCaps w:val="false"/>
          <w:sz w:val="20"/>
        </w:rPr>
        <w:t xml:space="preserve">June 30, </w:t>
      </w:r>
      <w:bookmarkStart w:id="5" w:name="xdx_907_edei--DocumentFiscalYearFocus_c2"/>
      <w:bookmarkEnd w:id="5"/>
      <w:r>
        <w:rPr>
          <w:rFonts w:ascii="Times New Roman;Times;Serif" w:hAnsi="Times New Roman;Times;Serif"/>
          <w:b w:val="false"/>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B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7" w:name="xdx_909_edei--EntityRegistrantName_c2026"/>
      <w:bookmarkEnd w:id="7"/>
      <w:r>
        <w:rPr>
          <w:rFonts w:ascii="Times New Roman;Times;Serif" w:hAnsi="Times New Roman;Times;Serif"/>
          <w:b/>
          <w:i w:val="false"/>
          <w:caps w:val="false"/>
          <w:smallCaps w:val="false"/>
          <w:sz w:val="36"/>
          <w:u w:val="single"/>
        </w:rPr>
        <w:t>AIxCrypto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Small Business Issuer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3_edei--EntityIncorporationStateCo"/>
            <w:bookmarkEnd w:id="8"/>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9_edei--EntityFileNumber_c20260101"/>
            <w:bookmarkEnd w:id="9"/>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F_edei--EntityTaxIdentificationNum"/>
            <w:bookmarkEnd w:id="10"/>
            <w:r>
              <w:rPr>
                <w:rFonts w:ascii="Times New Roman;Times;Serif" w:hAnsi="Times New Roman;Times;Serif"/>
                <w:b w:val="false"/>
                <w:i w:val="false"/>
                <w:caps w:val="false"/>
                <w:smallCaps w:val="false"/>
                <w:sz w:val="20"/>
              </w:rPr>
              <w:t>26-3474527</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1" w:name="xdx_909_edei--EntityAddressAddressLine1_"/>
      <w:bookmarkEnd w:id="11"/>
      <w:r>
        <w:rPr>
          <w:rFonts w:ascii="Times New Roman;Times;Serif" w:hAnsi="Times New Roman;Times;Serif"/>
          <w:b w:val="false"/>
          <w:i w:val="false"/>
          <w:caps w:val="false"/>
          <w:smallCaps w:val="false"/>
          <w:sz w:val="20"/>
          <w:u w:val="single"/>
        </w:rPr>
        <w:t xml:space="preserve">1990 E. Grand Ave., </w:t>
      </w:r>
      <w:bookmarkStart w:id="12" w:name="xdx_90D_edei--EntityAddressCityOrTown_c2"/>
      <w:bookmarkEnd w:id="12"/>
      <w:r>
        <w:rPr>
          <w:rFonts w:ascii="Times New Roman;Times;Serif" w:hAnsi="Times New Roman;Times;Serif"/>
          <w:b w:val="false"/>
          <w:i w:val="false"/>
          <w:caps w:val="false"/>
          <w:smallCaps w:val="false"/>
          <w:sz w:val="20"/>
          <w:u w:val="single"/>
        </w:rPr>
        <w:t xml:space="preserve">El Segundo, </w:t>
      </w:r>
      <w:bookmarkStart w:id="13" w:name="xdx_90C_edei--EntityAddressStateOrProvin"/>
      <w:bookmarkEnd w:id="13"/>
      <w:r>
        <w:rPr>
          <w:rFonts w:ascii="Times New Roman;Times;Serif" w:hAnsi="Times New Roman;Times;Serif"/>
          <w:b w:val="false"/>
          <w:i w:val="false"/>
          <w:caps w:val="false"/>
          <w:smallCaps w:val="false"/>
          <w:sz w:val="20"/>
          <w:u w:val="single"/>
        </w:rPr>
        <w:t xml:space="preserve">CA </w:t>
      </w:r>
      <w:bookmarkStart w:id="14" w:name="xdx_906_edei--EntityAddressPostalZipCode"/>
      <w:bookmarkEnd w:id="14"/>
      <w:r>
        <w:rPr>
          <w:rFonts w:ascii="Times New Roman;Times;Serif" w:hAnsi="Times New Roman;Times;Serif"/>
          <w:b w:val="false"/>
          <w:i w:val="false"/>
          <w:caps w:val="false"/>
          <w:smallCaps w:val="false"/>
          <w:sz w:val="20"/>
          <w:u w:val="single"/>
        </w:rPr>
        <w:t>90245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5" w:name="xdx_900_edei--CityAreaCode_c20260101__20"/>
      <w:bookmarkEnd w:id="15"/>
      <w:r>
        <w:rPr>
          <w:rFonts w:ascii="Times New Roman;Times;Serif" w:hAnsi="Times New Roman;Times;Serif"/>
          <w:b w:val="false"/>
          <w:i w:val="false"/>
          <w:caps w:val="false"/>
          <w:smallCaps w:val="false"/>
          <w:sz w:val="20"/>
          <w:u w:val="single"/>
        </w:rPr>
        <w:t xml:space="preserve">(760) </w:t>
      </w:r>
      <w:bookmarkStart w:id="16" w:name="xdx_906_edei--LocalPhoneNumber_c20260101"/>
      <w:bookmarkEnd w:id="16"/>
      <w:r>
        <w:rPr>
          <w:rFonts w:ascii="Times New Roman;Times;Serif" w:hAnsi="Times New Roman;Times;Serif"/>
          <w:b w:val="false"/>
          <w:i w:val="false"/>
          <w:caps w:val="false"/>
          <w:smallCaps w:val="false"/>
          <w:sz w:val="20"/>
          <w:u w:val="single"/>
        </w:rPr>
        <w:t>452-8111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915" w:type="dxa"/>
        <w:jc w:val="left"/>
        <w:tblInd w:w="0" w:type="dxa"/>
        <w:tblLayout w:type="fixed"/>
        <w:tblCellMar>
          <w:top w:w="0" w:type="dxa"/>
          <w:left w:w="0" w:type="dxa"/>
          <w:bottom w:w="28" w:type="dxa"/>
          <w:right w:w="0" w:type="dxa"/>
        </w:tblCellMar>
      </w:tblPr>
      <w:tblGrid>
        <w:gridCol w:w="3410"/>
        <w:gridCol w:w="60"/>
        <w:gridCol w:w="1340"/>
        <w:gridCol w:w="60"/>
        <w:gridCol w:w="5045"/>
      </w:tblGrid>
      <w:tr>
        <w:trPr/>
        <w:tc>
          <w:tcPr>
            <w:tcW w:w="341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4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7" w:name="xdx_903_edei--Security12bTitle_c20260101"/>
            <w:bookmarkEnd w:id="17"/>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 w:name="xdx_901_edei--TradingSymbol_c20260101__2"/>
            <w:bookmarkEnd w:id="18"/>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2_edei--SecurityExchangeName_c2026"/>
            <w:bookmarkEnd w:id="19"/>
            <w:r>
              <w:rPr>
                <w:rFonts w:ascii="Times New Roman;Times;Serif" w:hAnsi="Times New Roman;Times;Serif"/>
                <w:b w:val="false"/>
                <w:i w:val="false"/>
                <w:caps w:val="false"/>
                <w:smallCaps w:val="false"/>
                <w:sz w:val="20"/>
              </w:rPr>
              <w:t>Nasdaq Capital Market of 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bookmarkStart w:id="20" w:name="xdx_906_edei--EntityCurrentReportingStat"/>
      <w:bookmarkEnd w:id="20"/>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bookmarkStart w:id="21" w:name="xdx_900_edei--EntityInteractiveDataCurre"/>
      <w:bookmarkEnd w:id="21"/>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 w:name="xdx_901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3" w:name="xdx_909_edei--EntitySmallBusiness_c20260"/>
            <w:bookmarkEnd w:id="23"/>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4" w:name="xdx_905_edei--EntityEmergingGrowthCompan"/>
            <w:bookmarkEnd w:id="24"/>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 Yes </w:t>
      </w:r>
      <w:bookmarkStart w:id="25" w:name="xdx_90C_edei--EntityShellCompany_dbF_c20"/>
      <w:bookmarkEnd w:id="25"/>
      <w:r>
        <w:rPr>
          <w:rFonts w:ascii="Times New Roman;Times;Serif" w:hAnsi="Times New Roman;Times;Serif"/>
          <w:b w:val="false"/>
          <w:i w:val="false"/>
          <w:caps w:val="false"/>
          <w:smallCaps w:val="false"/>
          <w:sz w:val="20"/>
        </w:rPr>
        <w:t>☒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7, 2026, there were </w:t>
      </w:r>
      <w:bookmarkStart w:id="26" w:name="xdx_905_edei--EntityCommonStockSharesOut"/>
      <w:bookmarkEnd w:id="26"/>
      <w:r>
        <w:rPr>
          <w:rFonts w:ascii="Times New Roman;Times;Serif" w:hAnsi="Times New Roman;Times;Serif"/>
          <w:b w:val="false"/>
          <w:i w:val="false"/>
          <w:caps w:val="false"/>
          <w:smallCaps w:val="false"/>
          <w:sz w:val="20"/>
        </w:rPr>
        <w:t>20,234,993 shares of the registrant’s common stock, par value $</w:t>
      </w:r>
      <w:bookmarkStart w:id="27" w:name="xdx_904_edei--EntityListingParValuePerSh"/>
      <w:bookmarkEnd w:id="27"/>
      <w:r>
        <w:rPr>
          <w:rFonts w:ascii="Times New Roman;Times;Serif" w:hAnsi="Times New Roman;Times;Serif"/>
          <w:b w:val="false"/>
          <w:i w:val="false"/>
          <w:caps w:val="false"/>
          <w:smallCaps w:val="false"/>
          <w:sz w:val="20"/>
        </w:rPr>
        <w:t>0.001 per share,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740"/>
        <w:gridCol w:w="7280"/>
        <w:gridCol w:w="60"/>
        <w:gridCol w:w="425"/>
      </w:tblGrid>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7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Information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pp_001">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pp_002">
              <w:r>
                <w:rPr>
                  <w:rStyle w:val="InternetLink"/>
                  <w:rFonts w:ascii="Times New Roman;Times;Serif" w:hAnsi="Times New Roman;Times;Serif"/>
                  <w:b w:val="false"/>
                  <w:i w:val="false"/>
                  <w:caps w:val="false"/>
                  <w:smallCaps w:val="false"/>
                  <w:sz w:val="20"/>
                </w:rPr>
                <w:t>Condensed Consolidated Balance Sheets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pp_003">
              <w:r>
                <w:rPr>
                  <w:rStyle w:val="InternetLink"/>
                  <w:rFonts w:ascii="Times New Roman;Times;Serif" w:hAnsi="Times New Roman;Times;Serif"/>
                  <w:b w:val="false"/>
                  <w:i w:val="false"/>
                  <w:caps w:val="false"/>
                  <w:smallCaps w:val="false"/>
                  <w:sz w:val="20"/>
                </w:rPr>
                <w:t>Condensed Consolidated Statement of Operations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pp_004">
              <w:r>
                <w:rPr>
                  <w:rStyle w:val="InternetLink"/>
                  <w:rFonts w:ascii="Times New Roman;Times;Serif" w:hAnsi="Times New Roman;Times;Serif"/>
                  <w:b w:val="false"/>
                  <w:i w:val="false"/>
                  <w:caps w:val="false"/>
                  <w:smallCaps w:val="false"/>
                  <w:sz w:val="20"/>
                </w:rPr>
                <w:t>Condensed Consolidated Statement of Changes in Stockholders’ Equity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pp_005">
              <w:r>
                <w:rPr>
                  <w:rStyle w:val="InternetLink"/>
                  <w:rFonts w:ascii="Times New Roman;Times;Serif" w:hAnsi="Times New Roman;Times;Serif"/>
                  <w:b w:val="false"/>
                  <w:i w:val="false"/>
                  <w:caps w:val="false"/>
                  <w:smallCaps w:val="false"/>
                  <w:sz w:val="20"/>
                </w:rPr>
                <w:t>Condensed Consolidated Statements of Cash Flow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pp_006">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FFFF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FFFF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7280" w:type="dxa"/>
            <w:tcBorders/>
            <w:shd w:fill="FFFF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Legal Proceedings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FFFF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FFFFFF" w:val="clear"/>
            <w:vAlign w:val="center"/>
          </w:tcPr>
          <w:p>
            <w:pPr>
              <w:pStyle w:val="TableContents"/>
              <w:bidi w:val="0"/>
              <w:spacing w:before="0" w:after="283"/>
              <w:jc w:val="left"/>
              <w:rPr/>
            </w:pPr>
            <w:hyperlink w:anchor="sh_009">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CCEEFF" w:val="clear"/>
            <w:vAlign w:val="center"/>
          </w:tcPr>
          <w:p>
            <w:pPr>
              <w:pStyle w:val="TableContents"/>
              <w:bidi w:val="0"/>
              <w:spacing w:before="0" w:after="283"/>
              <w:jc w:val="left"/>
              <w:rPr/>
            </w:pPr>
            <w:hyperlink w:anchor="sh_010">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FFFFFF" w:val="clear"/>
            <w:vAlign w:val="center"/>
          </w:tcPr>
          <w:p>
            <w:pPr>
              <w:pStyle w:val="TableContents"/>
              <w:bidi w:val="0"/>
              <w:spacing w:before="0" w:after="283"/>
              <w:jc w:val="left"/>
              <w:rPr/>
            </w:pPr>
            <w:hyperlink w:anchor="sh_011">
              <w:r>
                <w:rPr>
                  <w:rStyle w:val="InternetLink"/>
                  <w:rFonts w:ascii="Times New Roman;Times;Serif" w:hAnsi="Times New Roman;Times;Serif"/>
                  <w:b w:val="false"/>
                  <w:i w:val="false"/>
                  <w:caps w:val="false"/>
                  <w:smallCaps w:val="false"/>
                  <w:sz w:val="20"/>
                </w:rPr>
                <w:t>Exhibits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pp_001"/>
      <w:bookmarkEnd w:id="28"/>
      <w:r>
        <w:rPr>
          <w:rFonts w:ascii="Times New Roman;Times;Serif" w:hAnsi="Times New Roman;Times;Serif"/>
          <w:b/>
          <w:i w:val="false"/>
          <w:caps w:val="false"/>
          <w:smallCaps w:val="false"/>
          <w:sz w:val="20"/>
        </w:rPr>
        <w:t>ITEM 1.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9" w:name="pp_002"/>
      <w:bookmarkEnd w:id="29"/>
      <w:r>
        <w:rPr>
          <w:rFonts w:ascii="Times New Roman;Times;Serif" w:hAnsi="Times New Roman;Times;Serif"/>
          <w:b/>
          <w:i w:val="false"/>
          <w:caps w:val="false"/>
          <w:smallCaps w:val="false"/>
          <w:sz w:val="20"/>
        </w:rPr>
        <w:t>CONDENSED CONSOLIDATED BALANCE SHEETS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xdx_30B_111_zQttwBDtMrx4"/>
      <w:bookmarkStart w:id="31" w:name="xdx_30B_111_zQttwBDtMrx4"/>
      <w:bookmarkEnd w:id="31"/>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F_20260630_zwSk3SFHPjP9"/>
            <w:bookmarkEnd w:id="32"/>
          </w:p>
        </w:tc>
        <w:tc>
          <w:tcPr>
            <w:tcW w:w="143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9C_20251231_z2YnwWZrilK7"/>
            <w:bookmarkEnd w:id="33"/>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34" w:name="xdx_400_eus-gaap--AssetsAbstract_iB_zlBf"/>
            <w:bookmarkEnd w:id="34"/>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 w:name="xdx_40A_eus-gaap--AssetsCurrentAbstract_"/>
            <w:bookmarkEnd w:id="35"/>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6" w:name="xdx_408_eus-gaap--CashAndCashEquivalents"/>
            <w:bookmarkEnd w:id="36"/>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19,332,707</w:t>
            </w:r>
          </w:p>
        </w:tc>
        <w:tc>
          <w:tcPr>
            <w:tcW w:w="110" w:type="dxa"/>
            <w:tcBorders/>
            <w:shd w:fill="CCEEFF" w:val="clear"/>
            <w:vAlign w:val="center"/>
          </w:tcPr>
          <w:p>
            <w:pPr>
              <w:pStyle w:val="TableContents"/>
              <w:bidi w:val="0"/>
              <w:spacing w:before="0" w:after="283"/>
              <w:jc w:val="left"/>
              <w:rPr/>
            </w:pPr>
            <w:r>
              <w:rPr/>
              <w:t> </w:t>
            </w:r>
            <w:bookmarkStart w:id="37" w:name="xdx_404_eus-gaap--CryptoAssetFairValue_i"/>
            <w:bookmarkEnd w:id="37"/>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5,212,903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10,250,497</w:t>
            </w:r>
          </w:p>
        </w:tc>
        <w:tc>
          <w:tcPr>
            <w:tcW w:w="110" w:type="dxa"/>
            <w:tcBorders/>
            <w:shd w:fill="FFFFFF" w:val="clear"/>
            <w:vAlign w:val="center"/>
          </w:tcPr>
          <w:p>
            <w:pPr>
              <w:pStyle w:val="TableContents"/>
              <w:bidi w:val="0"/>
              <w:spacing w:before="0" w:after="283"/>
              <w:jc w:val="left"/>
              <w:rPr/>
            </w:pPr>
            <w:r>
              <w:rPr/>
              <w:t> </w:t>
            </w:r>
            <w:bookmarkStart w:id="38" w:name="xdx_409_eus-gaap--PrepaidExpenseAndOther"/>
            <w:bookmarkEnd w:id="3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1,028,506</w:t>
            </w:r>
          </w:p>
        </w:tc>
        <w:tc>
          <w:tcPr>
            <w:tcW w:w="110" w:type="dxa"/>
            <w:tcBorders/>
            <w:shd w:fill="CCEEFF" w:val="clear"/>
            <w:vAlign w:val="center"/>
          </w:tcPr>
          <w:p>
            <w:pPr>
              <w:pStyle w:val="TableContents"/>
              <w:bidi w:val="0"/>
              <w:spacing w:before="0" w:after="283"/>
              <w:jc w:val="left"/>
              <w:rPr/>
            </w:pPr>
            <w:r>
              <w:rPr/>
              <w:t> </w:t>
            </w:r>
            <w:bookmarkStart w:id="39" w:name="xdx_400_eus-gaap--NotesAndLoansReceivabl"/>
            <w:bookmarkEnd w:id="39"/>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Short-term notes receivable, net of allowance for credit losses of </w:t>
            </w:r>
            <w:bookmarkStart w:id="40" w:name="xdx_905_eus-gaap--AllowanceForNotesAndLo"/>
            <w:bookmarkEnd w:id="40"/>
            <w:r>
              <w:rPr>
                <w:rFonts w:ascii="Times New Roman;Times;Serif" w:hAnsi="Times New Roman;Times;Serif"/>
              </w:rPr>
              <w:t>nil at June 30, 2026 and $</w:t>
            </w:r>
            <w:bookmarkStart w:id="41" w:name="xdx_90C_eus-gaap--AllowanceForNotesAndLo"/>
            <w:bookmarkEnd w:id="41"/>
            <w:r>
              <w:rPr>
                <w:rFonts w:ascii="Times New Roman;Times;Serif" w:hAnsi="Times New Roman;Times;Serif"/>
              </w:rPr>
              <w:t>4.6 million at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343,060</w:t>
            </w:r>
          </w:p>
        </w:tc>
        <w:tc>
          <w:tcPr>
            <w:tcW w:w="110" w:type="dxa"/>
            <w:tcBorders/>
            <w:shd w:fill="FFFFFF" w:val="clear"/>
            <w:vAlign w:val="center"/>
          </w:tcPr>
          <w:p>
            <w:pPr>
              <w:pStyle w:val="TableContents"/>
              <w:bidi w:val="0"/>
              <w:spacing w:before="0" w:after="283"/>
              <w:jc w:val="left"/>
              <w:rPr/>
            </w:pPr>
            <w:r>
              <w:rPr/>
              <w:t> </w:t>
            </w:r>
            <w:bookmarkStart w:id="42" w:name="xdx_40A_eus-gaap--AssetsCurrent_i02TI_mt"/>
            <w:bookmarkEnd w:id="42"/>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6,337,008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30,954,770</w:t>
            </w:r>
          </w:p>
        </w:tc>
        <w:tc>
          <w:tcPr>
            <w:tcW w:w="110" w:type="dxa"/>
            <w:tcBorders/>
            <w:shd w:fill="CCEEFF" w:val="clear"/>
            <w:vAlign w:val="center"/>
          </w:tcPr>
          <w:p>
            <w:pPr>
              <w:pStyle w:val="TableContents"/>
              <w:bidi w:val="0"/>
              <w:spacing w:before="0" w:after="283"/>
              <w:jc w:val="left"/>
              <w:rPr/>
            </w:pPr>
            <w:r>
              <w:rPr/>
              <w:t> </w:t>
            </w:r>
            <w:bookmarkStart w:id="43" w:name="xdx_400_eus-gaap--AssetsNoncurrentAbstra"/>
            <w:bookmarkEnd w:id="43"/>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4" w:name="xdx_404_eus-gaap--IndefiniteLivedIntangi"/>
            <w:bookmarkEnd w:id="44"/>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314,727</w:t>
            </w:r>
          </w:p>
        </w:tc>
        <w:tc>
          <w:tcPr>
            <w:tcW w:w="110" w:type="dxa"/>
            <w:tcBorders/>
            <w:shd w:fill="CCEEFF" w:val="clear"/>
            <w:vAlign w:val="center"/>
          </w:tcPr>
          <w:p>
            <w:pPr>
              <w:pStyle w:val="TableContents"/>
              <w:bidi w:val="0"/>
              <w:spacing w:before="0" w:after="283"/>
              <w:jc w:val="left"/>
              <w:rPr/>
            </w:pPr>
            <w:r>
              <w:rPr/>
              <w:t> </w:t>
            </w:r>
            <w:bookmarkStart w:id="45" w:name="xdx_40D_eus-gaap--OtherAssetsNoncurrent_"/>
            <w:bookmarkEnd w:id="45"/>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10,349</w:t>
            </w:r>
          </w:p>
        </w:tc>
        <w:tc>
          <w:tcPr>
            <w:tcW w:w="110" w:type="dxa"/>
            <w:tcBorders/>
            <w:shd w:fill="FFFFFF" w:val="clear"/>
            <w:vAlign w:val="center"/>
          </w:tcPr>
          <w:p>
            <w:pPr>
              <w:pStyle w:val="TableContents"/>
              <w:bidi w:val="0"/>
              <w:spacing w:before="0" w:after="283"/>
              <w:jc w:val="left"/>
              <w:rPr/>
            </w:pPr>
            <w:r>
              <w:rPr/>
              <w:t> </w:t>
            </w:r>
            <w:bookmarkStart w:id="46" w:name="xdx_403_eus-gaap--AssetsNoncurrent_i02TI"/>
            <w:bookmarkEnd w:id="46"/>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1,065,791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325,076</w:t>
            </w:r>
          </w:p>
        </w:tc>
        <w:tc>
          <w:tcPr>
            <w:tcW w:w="110" w:type="dxa"/>
            <w:tcBorders/>
            <w:shd w:fill="CCEEFF" w:val="clear"/>
            <w:vAlign w:val="center"/>
          </w:tcPr>
          <w:p>
            <w:pPr>
              <w:pStyle w:val="TableContents"/>
              <w:bidi w:val="0"/>
              <w:spacing w:before="0" w:after="283"/>
              <w:jc w:val="left"/>
              <w:rPr/>
            </w:pPr>
            <w:r>
              <w:rPr/>
              <w:t> </w:t>
            </w:r>
            <w:bookmarkStart w:id="47" w:name="xdx_40C_eus-gaap--Assets_i01TI_mtAzJaf_z"/>
            <w:bookmarkEnd w:id="47"/>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7,402,799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31,279,846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8" w:name="xdx_407_eus-gaap--LiabilitiesAndStockhol"/>
            <w:bookmarkEnd w:id="48"/>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9" w:name="xdx_40F_eus-gaap--LiabilitiesCurrentAbst"/>
            <w:bookmarkEnd w:id="49"/>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0" w:name="xdx_400_eus-gaap--AccountsPayableCurrent"/>
            <w:bookmarkEnd w:id="50"/>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1,259,944</w:t>
            </w:r>
          </w:p>
        </w:tc>
        <w:tc>
          <w:tcPr>
            <w:tcW w:w="110" w:type="dxa"/>
            <w:tcBorders/>
            <w:shd w:fill="FFFFFF" w:val="clear"/>
            <w:vAlign w:val="center"/>
          </w:tcPr>
          <w:p>
            <w:pPr>
              <w:pStyle w:val="TableContents"/>
              <w:bidi w:val="0"/>
              <w:spacing w:before="0" w:after="283"/>
              <w:jc w:val="left"/>
              <w:rPr/>
            </w:pPr>
            <w:r>
              <w:rPr/>
              <w:t> </w:t>
            </w:r>
            <w:bookmarkStart w:id="51" w:name="xdx_40E_eus-gaap--OtherLiabilitiesCurren"/>
            <w:bookmarkEnd w:id="51"/>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1,648,945</w:t>
            </w:r>
          </w:p>
        </w:tc>
        <w:tc>
          <w:tcPr>
            <w:tcW w:w="110" w:type="dxa"/>
            <w:tcBorders/>
            <w:shd w:fill="CCEEFF" w:val="clear"/>
            <w:vAlign w:val="center"/>
          </w:tcPr>
          <w:p>
            <w:pPr>
              <w:pStyle w:val="TableContents"/>
              <w:bidi w:val="0"/>
              <w:spacing w:before="0" w:after="283"/>
              <w:jc w:val="left"/>
              <w:rPr/>
            </w:pPr>
            <w:r>
              <w:rPr/>
              <w:t> </w:t>
            </w:r>
            <w:bookmarkStart w:id="52" w:name="xdx_402_eus-gaap--AccruedLiabilitiesAndO"/>
            <w:bookmarkEnd w:id="52"/>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136,234</w:t>
            </w:r>
          </w:p>
        </w:tc>
        <w:tc>
          <w:tcPr>
            <w:tcW w:w="110" w:type="dxa"/>
            <w:tcBorders/>
            <w:shd w:fill="FFFFFF" w:val="clear"/>
            <w:vAlign w:val="center"/>
          </w:tcPr>
          <w:p>
            <w:pPr>
              <w:pStyle w:val="TableContents"/>
              <w:bidi w:val="0"/>
              <w:spacing w:before="0" w:after="283"/>
              <w:jc w:val="left"/>
              <w:rPr/>
            </w:pPr>
            <w:r>
              <w:rPr/>
              <w:t> </w:t>
            </w:r>
            <w:bookmarkStart w:id="53" w:name="xdx_409_ecustom--WarrantLiabilitiesCurre"/>
            <w:bookmarkEnd w:id="53"/>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110" w:type="dxa"/>
            <w:tcBorders/>
            <w:shd w:fill="CCEEFF" w:val="clear"/>
            <w:vAlign w:val="center"/>
          </w:tcPr>
          <w:p>
            <w:pPr>
              <w:pStyle w:val="TableContents"/>
              <w:bidi w:val="0"/>
              <w:spacing w:before="0" w:after="283"/>
              <w:jc w:val="left"/>
              <w:rPr/>
            </w:pPr>
            <w:r>
              <w:rPr/>
              <w:t> </w:t>
            </w:r>
            <w:bookmarkStart w:id="54" w:name="xdx_40F_eus-gaap--ConvertibleDebtCurrent"/>
            <w:bookmarkEnd w:id="54"/>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142,236</w:t>
            </w:r>
          </w:p>
        </w:tc>
        <w:tc>
          <w:tcPr>
            <w:tcW w:w="110" w:type="dxa"/>
            <w:tcBorders/>
            <w:shd w:fill="FFFFFF" w:val="clear"/>
            <w:vAlign w:val="center"/>
          </w:tcPr>
          <w:p>
            <w:pPr>
              <w:pStyle w:val="TableContents"/>
              <w:bidi w:val="0"/>
              <w:spacing w:before="0" w:after="283"/>
              <w:jc w:val="left"/>
              <w:rPr/>
            </w:pPr>
            <w:r>
              <w:rPr/>
              <w:t> </w:t>
            </w:r>
            <w:bookmarkStart w:id="55" w:name="xdx_404_eus-gaap--LiabilitiesCurrent_i02"/>
            <w:bookmarkEnd w:id="55"/>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1,721,003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3,329,237</w:t>
            </w:r>
          </w:p>
        </w:tc>
        <w:tc>
          <w:tcPr>
            <w:tcW w:w="110" w:type="dxa"/>
            <w:tcBorders/>
            <w:shd w:fill="CCEEFF" w:val="clear"/>
            <w:vAlign w:val="center"/>
          </w:tcPr>
          <w:p>
            <w:pPr>
              <w:pStyle w:val="TableContents"/>
              <w:bidi w:val="0"/>
              <w:spacing w:before="0" w:after="283"/>
              <w:jc w:val="left"/>
              <w:rPr/>
            </w:pPr>
            <w:r>
              <w:rPr/>
              <w:t> </w:t>
            </w:r>
            <w:bookmarkStart w:id="56" w:name="xdx_408_eus-gaap--CommitmentsAndContinge"/>
            <w:bookmarkEnd w:id="56"/>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FFFFFF" w:val="clear"/>
            <w:vAlign w:val="center"/>
          </w:tcPr>
          <w:p>
            <w:pPr>
              <w:pStyle w:val="TableContents"/>
              <w:bidi w:val="0"/>
              <w:spacing w:before="0" w:after="283"/>
              <w:jc w:val="left"/>
              <w:rPr/>
            </w:pPr>
            <w:r>
              <w:rPr/>
              <w:t> </w:t>
            </w:r>
            <w:bookmarkStart w:id="57" w:name="xdx_400_eus-gaap--StockholdersEquityAbst"/>
            <w:bookmarkEnd w:id="57"/>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8" w:name="xdx_406_eus-gaap--PreferredStockValue_i0"/>
            <w:bookmarkEnd w:id="58"/>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Series A-2, $</w:t>
            </w:r>
            <w:bookmarkStart w:id="59" w:name="xdx_908_eus-gaap--PreferredStockParOrSta"/>
            <w:bookmarkStart w:id="60" w:name="xdx_90C_eus-gaap--PreferredStockParOrSta"/>
            <w:bookmarkEnd w:id="59"/>
            <w:bookmarkEnd w:id="60"/>
            <w:r>
              <w:rPr>
                <w:rFonts w:ascii="Times New Roman;Times;Serif" w:hAnsi="Times New Roman;Times;Serif"/>
              </w:rPr>
              <w:t xml:space="preserve">0.001 par value; </w:t>
            </w:r>
            <w:bookmarkStart w:id="61" w:name="xdx_90D_eus-gaap--PreferredStockSharesAu"/>
            <w:bookmarkStart w:id="62" w:name="xdx_903_eus-gaap--PreferredStockSharesAu"/>
            <w:bookmarkEnd w:id="61"/>
            <w:bookmarkEnd w:id="62"/>
            <w:r>
              <w:rPr>
                <w:rFonts w:ascii="Times New Roman;Times;Serif" w:hAnsi="Times New Roman;Times;Serif"/>
              </w:rPr>
              <w:t xml:space="preserve">7,000 shares authorized; </w:t>
            </w:r>
            <w:bookmarkStart w:id="63" w:name="xdx_90B_eus-gaap--PreferredStockSharesOu"/>
            <w:bookmarkStart w:id="64" w:name="xdx_900_eus-gaap--PreferredStockSharesIs"/>
            <w:bookmarkStart w:id="65" w:name="xdx_901_eus-gaap--PreferredStockSharesOu"/>
            <w:bookmarkStart w:id="66" w:name="xdx_903_eus-gaap--PreferredStockSharesIs"/>
            <w:bookmarkEnd w:id="63"/>
            <w:bookmarkEnd w:id="64"/>
            <w:bookmarkEnd w:id="65"/>
            <w:bookmarkEnd w:id="66"/>
            <w:r>
              <w:rPr>
                <w:rFonts w:ascii="Times New Roman;Times;Serif" w:hAnsi="Times New Roman;Times;Serif"/>
              </w:rPr>
              <w:t>601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659,040</w:t>
            </w:r>
          </w:p>
        </w:tc>
        <w:tc>
          <w:tcPr>
            <w:tcW w:w="110" w:type="dxa"/>
            <w:tcBorders/>
            <w:shd w:fill="FFFFFF" w:val="clear"/>
            <w:vAlign w:val="center"/>
          </w:tcPr>
          <w:p>
            <w:pPr>
              <w:pStyle w:val="TableContents"/>
              <w:bidi w:val="0"/>
              <w:spacing w:before="0" w:after="283"/>
              <w:jc w:val="left"/>
              <w:rPr/>
            </w:pPr>
            <w:r>
              <w:rPr/>
              <w:t> </w:t>
            </w:r>
            <w:bookmarkStart w:id="67" w:name="xdx_40B_eus-gaap--PreferredStockValue_i0"/>
            <w:bookmarkEnd w:id="67"/>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Series B, $</w:t>
            </w:r>
            <w:bookmarkStart w:id="68" w:name="xdx_90B_eus-gaap--PreferredStockParOrSta"/>
            <w:bookmarkStart w:id="69" w:name="xdx_901_eus-gaap--PreferredStockParOrSta"/>
            <w:bookmarkEnd w:id="68"/>
            <w:bookmarkEnd w:id="69"/>
            <w:r>
              <w:rPr>
                <w:rFonts w:ascii="Times New Roman;Times;Serif" w:hAnsi="Times New Roman;Times;Serif"/>
              </w:rPr>
              <w:t xml:space="preserve">0.001 par value; </w:t>
            </w:r>
            <w:bookmarkStart w:id="70" w:name="xdx_902_eus-gaap--PreferredStockSharesAu"/>
            <w:bookmarkStart w:id="71" w:name="xdx_900_eus-gaap--PreferredStockSharesAu"/>
            <w:bookmarkEnd w:id="70"/>
            <w:bookmarkEnd w:id="71"/>
            <w:r>
              <w:rPr>
                <w:rFonts w:ascii="Times New Roman;Times;Serif" w:hAnsi="Times New Roman;Times;Serif"/>
              </w:rPr>
              <w:t xml:space="preserve">500,000 shares authorized; </w:t>
            </w:r>
            <w:bookmarkStart w:id="72" w:name="xdx_909_eus-gaap--PreferredStockSharesOu"/>
            <w:bookmarkStart w:id="73" w:name="xdx_90C_eus-gaap--PreferredStockSharesIs"/>
            <w:bookmarkEnd w:id="72"/>
            <w:bookmarkEnd w:id="73"/>
            <w:r>
              <w:rPr>
                <w:rFonts w:ascii="Times New Roman;Times;Serif" w:hAnsi="Times New Roman;Times;Serif"/>
              </w:rPr>
              <w:t xml:space="preserve">6,085 and </w:t>
            </w:r>
            <w:bookmarkStart w:id="74" w:name="xdx_908_eus-gaap--PreferredStockSharesOu"/>
            <w:bookmarkStart w:id="75" w:name="xdx_90E_eus-gaap--PreferredStockSharesIs"/>
            <w:bookmarkEnd w:id="74"/>
            <w:bookmarkEnd w:id="75"/>
            <w:r>
              <w:rPr>
                <w:rFonts w:ascii="Times New Roman;Times;Serif" w:hAnsi="Times New Roman;Times;Serif"/>
              </w:rPr>
              <w:t>39,943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31,183,357</w:t>
            </w:r>
          </w:p>
        </w:tc>
        <w:tc>
          <w:tcPr>
            <w:tcW w:w="110" w:type="dxa"/>
            <w:tcBorders/>
            <w:shd w:fill="CCEEFF" w:val="clear"/>
            <w:vAlign w:val="center"/>
          </w:tcPr>
          <w:p>
            <w:pPr>
              <w:pStyle w:val="TableContents"/>
              <w:bidi w:val="0"/>
              <w:spacing w:before="0" w:after="283"/>
              <w:jc w:val="left"/>
              <w:rPr/>
            </w:pPr>
            <w:r>
              <w:rPr/>
              <w:t> </w:t>
            </w:r>
            <w:bookmarkStart w:id="76" w:name="xdx_40C_eus-gaap--PreferredStockValue_i0"/>
            <w:bookmarkEnd w:id="76"/>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31,183,357</w:t>
            </w:r>
          </w:p>
        </w:tc>
        <w:tc>
          <w:tcPr>
            <w:tcW w:w="110" w:type="dxa"/>
            <w:tcBorders/>
            <w:shd w:fill="CCEEFF" w:val="clear"/>
            <w:vAlign w:val="center"/>
          </w:tcPr>
          <w:p>
            <w:pPr>
              <w:pStyle w:val="TableContents"/>
              <w:bidi w:val="0"/>
              <w:spacing w:before="0" w:after="283"/>
              <w:jc w:val="left"/>
              <w:rPr/>
            </w:pPr>
            <w:r>
              <w:rPr/>
              <w:t> </w:t>
            </w:r>
            <w:bookmarkStart w:id="77" w:name="xdx_408_eus-gaap--CommonStockValue_i02I_"/>
            <w:bookmarkEnd w:id="77"/>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78" w:name="xdx_90B_eus-gaap--CommonStockParOrStated"/>
            <w:bookmarkStart w:id="79" w:name="xdx_904_eus-gaap--CommonStockParOrStated"/>
            <w:bookmarkEnd w:id="78"/>
            <w:bookmarkEnd w:id="79"/>
            <w:r>
              <w:rPr>
                <w:rFonts w:ascii="Times New Roman;Times;Serif" w:hAnsi="Times New Roman;Times;Serif"/>
              </w:rPr>
              <w:t xml:space="preserve">0.001 par value; </w:t>
            </w:r>
            <w:bookmarkStart w:id="80" w:name="xdx_90A_eus-gaap--CommonStockSharesAutho"/>
            <w:bookmarkStart w:id="81" w:name="xdx_90A_eus-gaap--CommonStockSharesAutho"/>
            <w:bookmarkEnd w:id="80"/>
            <w:bookmarkEnd w:id="81"/>
            <w:r>
              <w:rPr>
                <w:rFonts w:ascii="Times New Roman;Times;Serif" w:hAnsi="Times New Roman;Times;Serif"/>
              </w:rPr>
              <w:t xml:space="preserve">225,000,000 shares authorized; </w:t>
            </w:r>
            <w:bookmarkStart w:id="82" w:name="xdx_90A_eus-gaap--CommonStockSharesOutst"/>
            <w:bookmarkStart w:id="83" w:name="xdx_904_eus-gaap--CommonStockSharesIssue"/>
            <w:bookmarkEnd w:id="82"/>
            <w:bookmarkEnd w:id="83"/>
            <w:r>
              <w:rPr>
                <w:rFonts w:ascii="Times New Roman;Times;Serif" w:hAnsi="Times New Roman;Times;Serif"/>
              </w:rPr>
              <w:t xml:space="preserve">20,234,993 and </w:t>
            </w:r>
            <w:bookmarkStart w:id="84" w:name="xdx_90B_eus-gaap--CommonStockSharesOutst"/>
            <w:bookmarkStart w:id="85" w:name="xdx_903_eus-gaap--CommonStockSharesIssue"/>
            <w:bookmarkEnd w:id="84"/>
            <w:bookmarkEnd w:id="85"/>
            <w:r>
              <w:rPr>
                <w:rFonts w:ascii="Times New Roman;Times;Serif" w:hAnsi="Times New Roman;Times;Serif"/>
              </w:rPr>
              <w:t>5,160,383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69,738</w:t>
            </w:r>
          </w:p>
        </w:tc>
        <w:tc>
          <w:tcPr>
            <w:tcW w:w="110" w:type="dxa"/>
            <w:tcBorders/>
            <w:shd w:fill="FFFFFF" w:val="clear"/>
            <w:vAlign w:val="center"/>
          </w:tcPr>
          <w:p>
            <w:pPr>
              <w:pStyle w:val="TableContents"/>
              <w:bidi w:val="0"/>
              <w:spacing w:before="0" w:after="283"/>
              <w:jc w:val="left"/>
              <w:rPr/>
            </w:pPr>
            <w:r>
              <w:rPr/>
              <w:t> </w:t>
            </w:r>
            <w:bookmarkStart w:id="86" w:name="xdx_409_eus-gaap--AdditionalPaidInCapita"/>
            <w:bookmarkEnd w:id="86"/>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162,483,668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136,065,924</w:t>
            </w:r>
          </w:p>
        </w:tc>
        <w:tc>
          <w:tcPr>
            <w:tcW w:w="110" w:type="dxa"/>
            <w:tcBorders/>
            <w:shd w:fill="CCEEFF" w:val="clear"/>
            <w:vAlign w:val="center"/>
          </w:tcPr>
          <w:p>
            <w:pPr>
              <w:pStyle w:val="TableContents"/>
              <w:bidi w:val="0"/>
              <w:spacing w:before="0" w:after="283"/>
              <w:jc w:val="left"/>
              <w:rPr/>
            </w:pPr>
            <w:r>
              <w:rPr/>
              <w:t> </w:t>
            </w:r>
            <w:bookmarkStart w:id="87" w:name="xdx_405_ecustom--ParentCompanyEquityHeld"/>
            <w:bookmarkEnd w:id="87"/>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 company equity held at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(12,002,192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8" w:name="xdx_405_eus-gaap--RetainedEarningsAccumu"/>
            <w:bookmarkEnd w:id="88"/>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(150,294,071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(140,027,450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 w:name="xdx_409_eus-gaap--StockholdersEquity_i02"/>
            <w:bookmarkEnd w:id="89"/>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5,681,796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27,950,609</w:t>
            </w:r>
          </w:p>
        </w:tc>
        <w:tc>
          <w:tcPr>
            <w:tcW w:w="110" w:type="dxa"/>
            <w:tcBorders/>
            <w:shd w:fill="FFFFFF" w:val="clear"/>
            <w:vAlign w:val="center"/>
          </w:tcPr>
          <w:p>
            <w:pPr>
              <w:pStyle w:val="TableContents"/>
              <w:bidi w:val="0"/>
              <w:spacing w:before="0" w:after="283"/>
              <w:jc w:val="left"/>
              <w:rPr/>
            </w:pPr>
            <w:r>
              <w:rPr/>
              <w:t> </w:t>
            </w:r>
            <w:bookmarkStart w:id="90" w:name="xdx_403_eus-gaap--LiabilitiesAndStockhol"/>
            <w:bookmarkEnd w:id="90"/>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&amp;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7,402,799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31,279,846</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AIXCRPYTO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pp_003"/>
      <w:bookmarkEnd w:id="91"/>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2" w:name="xdx_30D_113_z7RDRHheLgLa"/>
      <w:bookmarkStart w:id="93" w:name="xdx_30D_113_z7RDRHheLgLa"/>
      <w:bookmarkEnd w:id="93"/>
    </w:p>
    <w:tbl>
      <w:tblPr>
        <w:tblW w:w="10205" w:type="dxa"/>
        <w:jc w:val="left"/>
        <w:tblInd w:w="0" w:type="dxa"/>
        <w:tblLayout w:type="fixed"/>
        <w:tblCellMar>
          <w:top w:w="0" w:type="dxa"/>
          <w:left w:w="0" w:type="dxa"/>
          <w:bottom w:w="0" w:type="dxa"/>
          <w:right w:w="0" w:type="dxa"/>
        </w:tblCellMar>
      </w:tblPr>
      <w:tblGrid>
        <w:gridCol w:w="4625"/>
        <w:gridCol w:w="60"/>
        <w:gridCol w:w="140"/>
        <w:gridCol w:w="1100"/>
        <w:gridCol w:w="95"/>
        <w:gridCol w:w="60"/>
        <w:gridCol w:w="140"/>
        <w:gridCol w:w="1055"/>
        <w:gridCol w:w="95"/>
        <w:gridCol w:w="60"/>
        <w:gridCol w:w="140"/>
        <w:gridCol w:w="1175"/>
        <w:gridCol w:w="95"/>
        <w:gridCol w:w="60"/>
        <w:gridCol w:w="140"/>
        <w:gridCol w:w="105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C_20260401__20260630_zwxFHYldTYaa"/>
            <w:bookmarkEnd w:id="94"/>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6_20250401__20250630_zkfmwwAoyoBa"/>
            <w:bookmarkEnd w:id="95"/>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 w:name="xdx_49E_20260101__20260630_zcXBAecN30ug"/>
            <w:bookmarkEnd w:id="96"/>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 w:name="xdx_492_20250101__20250630_z6CWwh50yl1i"/>
            <w:bookmarkEnd w:id="97"/>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98" w:name="xdx_400_eus-gaap--OperatingCostsAndExpen"/>
            <w:bookmarkEnd w:id="98"/>
          </w:p>
        </w:tc>
      </w:tr>
      <w:tr>
        <w:trPr/>
        <w:tc>
          <w:tcPr>
            <w:tcW w:w="46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99" w:name="xdx_40B_eus-gaap--GeneralAndAdministrati"/>
            <w:bookmarkEnd w:id="99"/>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1,394,932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6,416,390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3,889,464</w:t>
            </w:r>
          </w:p>
        </w:tc>
        <w:tc>
          <w:tcPr>
            <w:tcW w:w="110" w:type="dxa"/>
            <w:tcBorders/>
            <w:shd w:fill="CCEEFF" w:val="clear"/>
            <w:vAlign w:val="center"/>
          </w:tcPr>
          <w:p>
            <w:pPr>
              <w:pStyle w:val="TableContents"/>
              <w:bidi w:val="0"/>
              <w:spacing w:before="0" w:after="283"/>
              <w:jc w:val="left"/>
              <w:rPr/>
            </w:pPr>
            <w:r>
              <w:rPr/>
              <w:t> </w:t>
            </w:r>
            <w:bookmarkStart w:id="100" w:name="xdx_40F_eus-gaap--SellingAndMarketingExp"/>
            <w:bookmarkEnd w:id="100"/>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1" w:name="xdx_409_eus-gaap--ResearchAndDevelopment"/>
            <w:bookmarkEnd w:id="101"/>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50,982</w:t>
            </w:r>
          </w:p>
        </w:tc>
        <w:tc>
          <w:tcPr>
            <w:tcW w:w="110" w:type="dxa"/>
            <w:tcBorders/>
            <w:shd w:fill="CCEEFF" w:val="clear"/>
            <w:vAlign w:val="center"/>
          </w:tcPr>
          <w:p>
            <w:pPr>
              <w:pStyle w:val="TableContents"/>
              <w:bidi w:val="0"/>
              <w:spacing w:before="0" w:after="283"/>
              <w:jc w:val="left"/>
              <w:rPr/>
            </w:pPr>
            <w:r>
              <w:rPr/>
              <w:t> </w:t>
            </w:r>
            <w:bookmarkStart w:id="102" w:name="xdx_402_ecustom--CreditLossExpenseShortt"/>
            <w:bookmarkEnd w:id="102"/>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loss expense - short-term note receivable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468,000</w:t>
            </w:r>
          </w:p>
        </w:tc>
        <w:tc>
          <w:tcPr>
            <w:tcW w:w="110" w:type="dxa"/>
            <w:tcBorders/>
            <w:shd w:fill="FFFFFF" w:val="clear"/>
            <w:vAlign w:val="center"/>
          </w:tcPr>
          <w:p>
            <w:pPr>
              <w:pStyle w:val="TableContents"/>
              <w:bidi w:val="0"/>
              <w:spacing w:before="0" w:after="283"/>
              <w:jc w:val="left"/>
              <w:rPr/>
            </w:pPr>
            <w:r>
              <w:rPr/>
              <w:t> </w:t>
            </w:r>
            <w:bookmarkStart w:id="103" w:name="xdx_402_eus-gaap--OperatingExpenses_i01T"/>
            <w:bookmarkEnd w:id="103"/>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2,959,325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7,293,046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4,408,446</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4_eus-gaap--OperatingIncomeLoss_iT"/>
            <w:bookmarkEnd w:id="104"/>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(2,959,325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(1,683,747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(7,293,046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(4,408,446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 w:name="xdx_403_eus-gaap--NonoperatingIncomeExpe"/>
            <w:bookmarkEnd w:id="105"/>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 w:name="xdx_405_ecustom--LossGainOnChangeInFairV"/>
            <w:bookmarkEnd w:id="106"/>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(55,199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 w:name="xdx_406_ecustom--GainOnChangeInFairValue"/>
            <w:bookmarkEnd w:id="107"/>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change in fair value of convertible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(37,874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8" w:name="xdx_402_ecustom--LossOnSettlementOfShort"/>
            <w:bookmarkEnd w:id="108"/>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settlement of short-term note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375,844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375,844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9" w:name="xdx_408_eus-gaap--ImpairmentOfIntangible"/>
            <w:bookmarkEnd w:id="109"/>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0" w:name="xdx_402_eus-gaap--InterestExpenseNonoper"/>
            <w:bookmarkEnd w:id="110"/>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179,667</w:t>
            </w:r>
          </w:p>
        </w:tc>
        <w:tc>
          <w:tcPr>
            <w:tcW w:w="110" w:type="dxa"/>
            <w:tcBorders/>
            <w:shd w:fill="FFFFFF" w:val="clear"/>
            <w:vAlign w:val="center"/>
          </w:tcPr>
          <w:p>
            <w:pPr>
              <w:pStyle w:val="TableContents"/>
              <w:bidi w:val="0"/>
              <w:spacing w:before="0" w:after="283"/>
              <w:jc w:val="left"/>
              <w:rPr/>
            </w:pPr>
            <w:r>
              <w:rPr/>
              <w:t> </w:t>
            </w:r>
            <w:bookmarkStart w:id="111" w:name="xdx_407_eus-gaap--InvestmentIncomeIntere"/>
            <w:bookmarkEnd w:id="111"/>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(126,963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(429,973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(255,430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2" w:name="xdx_40D_ecustom--LossOnIssuanceOfConvert"/>
            <w:bookmarkEnd w:id="112"/>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91,943</w:t>
            </w:r>
          </w:p>
        </w:tc>
        <w:tc>
          <w:tcPr>
            <w:tcW w:w="110" w:type="dxa"/>
            <w:tcBorders/>
            <w:shd w:fill="FFFFFF" w:val="clear"/>
            <w:vAlign w:val="center"/>
          </w:tcPr>
          <w:p>
            <w:pPr>
              <w:pStyle w:val="TableContents"/>
              <w:bidi w:val="0"/>
              <w:spacing w:before="0" w:after="283"/>
              <w:jc w:val="left"/>
              <w:rPr/>
            </w:pPr>
            <w:r>
              <w:rPr/>
              <w:t> </w:t>
            </w:r>
            <w:bookmarkStart w:id="113" w:name="xdx_407_eus-gaap--CryptoAssetRealizedGai"/>
            <w:bookmarkEnd w:id="113"/>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on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2,929,946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4" w:name="xdx_400_eus-gaap--NonoperatingIncomeExpe"/>
            <w:bookmarkEnd w:id="114"/>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2,973,575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5" w:name="xdx_40E_eus-gaap--IncomeLossFromContinui"/>
            <w:bookmarkEnd w:id="115"/>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(4,187,605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(1,685,417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(10,266,621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(4,331,553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6" w:name="xdx_40E_eus-gaap--IncomeTaxExpenseBenefi"/>
            <w:bookmarkEnd w:id="116"/>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7" w:name="xdx_40D_eus-gaap--NetIncomeLoss_iT_mtILF"/>
            <w:bookmarkEnd w:id="117"/>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(4,187,605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(1,685,417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(10,266,621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(4,331,588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 w:name="xdx_404_eus-gaap--WarrantDownRoundFeatur"/>
            <w:bookmarkEnd w:id="118"/>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Deemed dividend arising from warrant down-round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 w:name="xdx_404_eus-gaap--NetIncomeLossAvailable"/>
            <w:bookmarkEnd w:id="119"/>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AIxCrypto Holdings,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(4,187,605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(1,687,003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(10,266,621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(4,333,174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0" w:name="xdx_90A_eus-gaap--EarningsPerShareDilute"/>
            <w:bookmarkStart w:id="121" w:name="xdx_90B_eus-gaap--EarningsPerShareBasic_"/>
            <w:bookmarkEnd w:id="120"/>
            <w:bookmarkEnd w:id="121"/>
            <w:r>
              <w:rPr>
                <w:rFonts w:ascii="Times New Roman;Times;Serif" w:hAnsi="Times New Roman;Times;Serif"/>
              </w:rPr>
              <w:t>(0.21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2" w:name="xdx_900_eus-gaap--EarningsPerShareDilute"/>
            <w:bookmarkStart w:id="123" w:name="xdx_905_eus-gaap--EarningsPerShareBasic_"/>
            <w:bookmarkEnd w:id="122"/>
            <w:bookmarkEnd w:id="123"/>
            <w:r>
              <w:rPr>
                <w:rFonts w:ascii="Times New Roman;Times;Serif" w:hAnsi="Times New Roman;Times;Serif"/>
              </w:rPr>
              <w:t>(1.00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4" w:name="xdx_90D_eus-gaap--EarningsPerShareDilute"/>
            <w:bookmarkStart w:id="125" w:name="xdx_90A_eus-gaap--EarningsPerShareBasic_"/>
            <w:bookmarkEnd w:id="124"/>
            <w:bookmarkEnd w:id="125"/>
            <w:r>
              <w:rPr>
                <w:rFonts w:ascii="Times New Roman;Times;Serif" w:hAnsi="Times New Roman;Times;Serif"/>
              </w:rPr>
              <w:t>(0.73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6" w:name="xdx_902_eus-gaap--EarningsPerShareDilute"/>
            <w:bookmarkStart w:id="127" w:name="xdx_907_eus-gaap--EarningsPerShareBasic_"/>
            <w:bookmarkEnd w:id="126"/>
            <w:bookmarkEnd w:id="127"/>
            <w:r>
              <w:rPr>
                <w:rFonts w:ascii="Times New Roman;Times;Serif" w:hAnsi="Times New Roman;Times;Serif"/>
              </w:rPr>
              <w:t>(2.76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number of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28" w:name="xdx_90E_eus-gaap--WeightedAverageNumberO"/>
            <w:bookmarkStart w:id="129" w:name="xdx_900_eus-gaap--WeightedAverageNumberO"/>
            <w:bookmarkEnd w:id="128"/>
            <w:bookmarkEnd w:id="129"/>
            <w:r>
              <w:rPr>
                <w:rFonts w:ascii="Times New Roman;Times;Serif" w:hAnsi="Times New Roman;Times;Serif"/>
              </w:rPr>
              <w:t>20,286,192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30" w:name="xdx_905_eus-gaap--WeightedAverageNumberO"/>
            <w:bookmarkStart w:id="131" w:name="xdx_905_eus-gaap--WeightedAverageNumberO"/>
            <w:bookmarkEnd w:id="130"/>
            <w:bookmarkEnd w:id="131"/>
            <w:r>
              <w:rPr>
                <w:rFonts w:ascii="Times New Roman;Times;Serif" w:hAnsi="Times New Roman;Times;Serif"/>
              </w:rPr>
              <w:t>1,683,881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32" w:name="xdx_903_eus-gaap--WeightedAverageNumberO"/>
            <w:bookmarkStart w:id="133" w:name="xdx_904_eus-gaap--WeightedAverageNumberO"/>
            <w:bookmarkEnd w:id="132"/>
            <w:bookmarkEnd w:id="133"/>
            <w:r>
              <w:rPr>
                <w:rFonts w:ascii="Times New Roman;Times;Serif" w:hAnsi="Times New Roman;Times;Serif"/>
              </w:rPr>
              <w:t>14,030,150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34" w:name="xdx_905_eus-gaap--WeightedAverageNumberO"/>
            <w:bookmarkStart w:id="135" w:name="xdx_90E_eus-gaap--WeightedAverageNumberO"/>
            <w:bookmarkEnd w:id="134"/>
            <w:bookmarkEnd w:id="135"/>
            <w:r>
              <w:rPr>
                <w:rFonts w:ascii="Times New Roman;Times;Serif" w:hAnsi="Times New Roman;Times;Serif"/>
              </w:rPr>
              <w:t>1,570,925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6" w:name="pp_004"/>
      <w:bookmarkEnd w:id="136"/>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7" w:name="xdx_309_114_zDGxPj2BbPZb"/>
      <w:bookmarkStart w:id="138" w:name="xdx_309_114_zDGxPj2BbPZb"/>
      <w:bookmarkEnd w:id="138"/>
    </w:p>
    <w:tbl>
      <w:tblPr>
        <w:tblW w:w="13685" w:type="dxa"/>
        <w:jc w:val="left"/>
        <w:tblInd w:w="0" w:type="dxa"/>
        <w:tblLayout w:type="fixed"/>
        <w:tblCellMar>
          <w:top w:w="0" w:type="dxa"/>
          <w:left w:w="0" w:type="dxa"/>
          <w:bottom w:w="0" w:type="dxa"/>
          <w:right w:w="0" w:type="dxa"/>
        </w:tblCellMar>
      </w:tblPr>
      <w:tblGrid>
        <w:gridCol w:w="1070"/>
        <w:gridCol w:w="60"/>
        <w:gridCol w:w="96"/>
        <w:gridCol w:w="614"/>
        <w:gridCol w:w="60"/>
        <w:gridCol w:w="60"/>
        <w:gridCol w:w="140"/>
        <w:gridCol w:w="800"/>
        <w:gridCol w:w="60"/>
        <w:gridCol w:w="60"/>
        <w:gridCol w:w="60"/>
        <w:gridCol w:w="755"/>
        <w:gridCol w:w="95"/>
        <w:gridCol w:w="60"/>
        <w:gridCol w:w="140"/>
        <w:gridCol w:w="1175"/>
        <w:gridCol w:w="95"/>
        <w:gridCol w:w="60"/>
        <w:gridCol w:w="60"/>
        <w:gridCol w:w="1100"/>
        <w:gridCol w:w="60"/>
        <w:gridCol w:w="60"/>
        <w:gridCol w:w="146"/>
        <w:gridCol w:w="714"/>
        <w:gridCol w:w="60"/>
        <w:gridCol w:w="60"/>
        <w:gridCol w:w="140"/>
        <w:gridCol w:w="1220"/>
        <w:gridCol w:w="60"/>
        <w:gridCol w:w="60"/>
        <w:gridCol w:w="140"/>
        <w:gridCol w:w="1175"/>
        <w:gridCol w:w="95"/>
        <w:gridCol w:w="60"/>
        <w:gridCol w:w="140"/>
        <w:gridCol w:w="1295"/>
        <w:gridCol w:w="95"/>
        <w:gridCol w:w="60"/>
        <w:gridCol w:w="140"/>
        <w:gridCol w:w="1175"/>
        <w:gridCol w:w="110"/>
      </w:tblGrid>
      <w:tr>
        <w:trPr/>
        <w:tc>
          <w:tcPr>
            <w:tcW w:w="1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B5_us-gaap--StatementEquityComponen"/>
            <w:bookmarkEnd w:id="139"/>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 w:name="xdx_4B1_us-gaap--StatementEquityComponen"/>
            <w:bookmarkEnd w:id="140"/>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BE_us-gaap--StatementEquityComponen"/>
            <w:bookmarkEnd w:id="141"/>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 w:name="xdx_4BD_us-gaap--StatementEquityComponen"/>
            <w:bookmarkEnd w:id="142"/>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 w:name="xdx_4BC_us-gaap--StatementEquityComponen"/>
            <w:bookmarkEnd w:id="143"/>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4" w:name="xdx_4B9_us-gaap--StatementEquityComponen"/>
            <w:bookmarkEnd w:id="144"/>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 w:name="xdx_4BB_zqJTXZHkA171"/>
            <w:bookmarkEnd w:id="145"/>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 Convertible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Convertible Preferred Stock</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Parent company equity held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5" w:type="dxa"/>
            <w:gridSpan w:val="2"/>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cost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46" w:name="xdx_434_c20260101__20260331_eus-gaap--St"/>
            <w:bookmarkEnd w:id="146"/>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47" w:name="xdx_984_eus-gaap--SharesOutstanding_iS_p"/>
            <w:bookmarkEnd w:id="147"/>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8" w:name="xdx_98F_eus-gaap--SharesOutstanding_iS_p"/>
            <w:bookmarkEnd w:id="148"/>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31,183,357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E_eus-gaap--SharesOutstanding_iS_p"/>
            <w:bookmarkEnd w:id="14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5,160,383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136,065,924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(140,027,450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27,950,609</w:t>
            </w:r>
          </w:p>
        </w:tc>
        <w:tc>
          <w:tcPr>
            <w:tcW w:w="110" w:type="dxa"/>
            <w:tcBorders/>
            <w:shd w:fill="CCEEFF" w:val="clear"/>
            <w:vAlign w:val="center"/>
          </w:tcPr>
          <w:p>
            <w:pPr>
              <w:pStyle w:val="TableContents"/>
              <w:bidi w:val="0"/>
              <w:spacing w:before="0" w:after="283"/>
              <w:jc w:val="left"/>
              <w:rPr/>
            </w:pPr>
            <w:r>
              <w:rPr/>
              <w:t> </w:t>
            </w:r>
            <w:bookmarkStart w:id="150" w:name="xdx_40F_ecustom--StockIssuedDuringPeriod"/>
            <w:bookmarkEnd w:id="150"/>
          </w:p>
        </w:tc>
      </w:tr>
      <w:tr>
        <w:trPr/>
        <w:tc>
          <w:tcPr>
            <w:tcW w:w="1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the conversion of Series B preferred shares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1" w:name="xdx_982_ecustom--StockIssuedDuringPeriod"/>
            <w:bookmarkEnd w:id="151"/>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(33,858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(26,432,819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 w:name="xdx_981_ecustom--StockIssuedDuringPeriod"/>
            <w:bookmarkEnd w:id="15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15,074,610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26,417,744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3" w:name="xdx_403_eus-gaap--NetIncomeLoss_znrDYFDp"/>
            <w:bookmarkEnd w:id="153"/>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(6,079,016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(6,079,016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4" w:name="xdx_43B_c20260401__20260630_eus-gaap--St"/>
            <w:bookmarkEnd w:id="154"/>
          </w:p>
        </w:tc>
      </w:tr>
      <w:tr>
        <w:trPr/>
        <w:tc>
          <w:tcPr>
            <w:tcW w:w="1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March 31, 2026</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155" w:name="xdx_982_eus-gaap--SharesOutstanding_iS_p"/>
            <w:bookmarkEnd w:id="155"/>
          </w:p>
        </w:tc>
        <w:tc>
          <w:tcPr>
            <w:tcW w:w="6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6" w:name="xdx_98F_eus-gaap--SharesOutstanding_iS_p"/>
            <w:bookmarkEnd w:id="156"/>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7" w:name="xdx_98D_eus-gaap--SharesOutstanding_iS_p"/>
            <w:bookmarkEnd w:id="157"/>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20,234,993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162,483,668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(146,106,466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21,871,593</w:t>
            </w:r>
          </w:p>
        </w:tc>
        <w:tc>
          <w:tcPr>
            <w:tcW w:w="110" w:type="dxa"/>
            <w:tcBorders/>
            <w:shd w:fill="FFFFFF" w:val="clear"/>
            <w:vAlign w:val="center"/>
          </w:tcPr>
          <w:p>
            <w:pPr>
              <w:pStyle w:val="TableContents"/>
              <w:bidi w:val="0"/>
              <w:spacing w:before="0" w:after="283"/>
              <w:jc w:val="left"/>
              <w:rPr/>
            </w:pPr>
            <w:r>
              <w:rPr/>
              <w:t> </w:t>
            </w:r>
            <w:bookmarkStart w:id="158" w:name="xdx_403_ecustom--StockIssuedDuringPeriod"/>
            <w:bookmarkEnd w:id="158"/>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Parent company equity held at cost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(12,002,192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(12,002,192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9" w:name="xdx_403_eus-gaap--NetIncomeLoss_zy5JXCTZ"/>
            <w:bookmarkEnd w:id="159"/>
          </w:p>
        </w:tc>
      </w:tr>
      <w:tr>
        <w:trPr/>
        <w:tc>
          <w:tcPr>
            <w:tcW w:w="1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(4,187,605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(4,187,605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0" w:name="xdx_43A_c20260401__20260630_eus-gaap--St"/>
            <w:bookmarkEnd w:id="160"/>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1" w:name="xdx_98E_eus-gaap--SharesOutstanding_iE_p"/>
            <w:bookmarkEnd w:id="161"/>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2" w:name="xdx_98D_eus-gaap--SharesOutstanding_iE_p"/>
            <w:bookmarkEnd w:id="162"/>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 w:name="xdx_989_eus-gaap--SharesOutstanding_iE_p"/>
            <w:bookmarkEnd w:id="16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20,234,993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162,483,668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(12,002,192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(150,294,071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5,681,796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75" w:type="dxa"/>
        <w:jc w:val="left"/>
        <w:tblInd w:w="0" w:type="dxa"/>
        <w:tblLayout w:type="fixed"/>
        <w:tblCellMar>
          <w:top w:w="0" w:type="dxa"/>
          <w:left w:w="0" w:type="dxa"/>
          <w:bottom w:w="0" w:type="dxa"/>
          <w:right w:w="0" w:type="dxa"/>
        </w:tblCellMar>
      </w:tblPr>
      <w:tblGrid>
        <w:gridCol w:w="1340"/>
        <w:gridCol w:w="60"/>
        <w:gridCol w:w="61"/>
        <w:gridCol w:w="649"/>
        <w:gridCol w:w="95"/>
        <w:gridCol w:w="60"/>
        <w:gridCol w:w="140"/>
        <w:gridCol w:w="1055"/>
        <w:gridCol w:w="95"/>
        <w:gridCol w:w="60"/>
        <w:gridCol w:w="60"/>
        <w:gridCol w:w="980"/>
        <w:gridCol w:w="60"/>
        <w:gridCol w:w="60"/>
        <w:gridCol w:w="146"/>
        <w:gridCol w:w="714"/>
        <w:gridCol w:w="60"/>
        <w:gridCol w:w="60"/>
        <w:gridCol w:w="140"/>
        <w:gridCol w:w="1220"/>
        <w:gridCol w:w="60"/>
        <w:gridCol w:w="60"/>
        <w:gridCol w:w="140"/>
        <w:gridCol w:w="1295"/>
        <w:gridCol w:w="95"/>
        <w:gridCol w:w="60"/>
        <w:gridCol w:w="178"/>
        <w:gridCol w:w="1162"/>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5_us-gaap--StatementEquityComponen"/>
            <w:bookmarkEnd w:id="164"/>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E_us-gaap--StatementEquityComponen"/>
            <w:bookmarkEnd w:id="165"/>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D_us-gaap--StatementEquityComponen"/>
            <w:bookmarkEnd w:id="166"/>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9_us-gaap--StatementEquityComponen"/>
            <w:bookmarkEnd w:id="167"/>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B_zCtlwpHtAQhl"/>
            <w:bookmarkEnd w:id="168"/>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Convertible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Equity(Deficit)</w:t>
            </w:r>
          </w:p>
        </w:tc>
        <w:tc>
          <w:tcPr>
            <w:tcW w:w="110" w:type="dxa"/>
            <w:tcBorders/>
            <w:vAlign w:val="center"/>
          </w:tcPr>
          <w:p>
            <w:pPr>
              <w:pStyle w:val="TableContents"/>
              <w:bidi w:val="0"/>
              <w:spacing w:before="0" w:after="283"/>
              <w:jc w:val="left"/>
              <w:rPr/>
            </w:pPr>
            <w:r>
              <w:rPr/>
              <w:t> </w:t>
            </w:r>
            <w:bookmarkStart w:id="169" w:name="xdx_430_c20250101__20250331_eus-gaap--St"/>
            <w:bookmarkEnd w:id="16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70" w:name="xdx_98D_eus-gaap--SharesOutstanding_iS_p"/>
            <w:bookmarkEnd w:id="170"/>
          </w:p>
        </w:tc>
        <w:tc>
          <w:tcPr>
            <w:tcW w:w="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5,716,400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 w:name="xdx_98C_eus-gaap--SharesOutstanding_iS_p"/>
            <w:bookmarkEnd w:id="17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119,958,897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(123,061,575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2,679,036</w:t>
            </w:r>
          </w:p>
        </w:tc>
        <w:tc>
          <w:tcPr>
            <w:tcW w:w="110" w:type="dxa"/>
            <w:tcBorders/>
            <w:shd w:fill="CCEEFF" w:val="clear"/>
            <w:vAlign w:val="center"/>
          </w:tcPr>
          <w:p>
            <w:pPr>
              <w:pStyle w:val="TableContents"/>
              <w:bidi w:val="0"/>
              <w:spacing w:before="0" w:after="283"/>
              <w:jc w:val="left"/>
              <w:rPr/>
            </w:pPr>
            <w:r>
              <w:rPr/>
              <w:t> </w:t>
            </w:r>
            <w:bookmarkStart w:id="172" w:name="xdx_405_ecustom--StockIssuedDuringPeriod"/>
            <w:bookmarkEnd w:id="17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the conversion of Series A-2 preferred shares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73" w:name="xdx_988_ecustom--StockIssuedDuringPeriod"/>
            <w:bookmarkEnd w:id="173"/>
          </w:p>
        </w:tc>
        <w:tc>
          <w:tcPr>
            <w:tcW w:w="6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(2,893,306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4" w:name="xdx_98C_ecustom--StockIssuedDuringPeriod"/>
            <w:bookmarkEnd w:id="17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2,892,417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75" w:name="xdx_407_eus-gaap--AdjustmentsToAdditiona"/>
            <w:bookmarkEnd w:id="17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w:t>
            </w:r>
          </w:p>
        </w:tc>
        <w:tc>
          <w:tcPr>
            <w:tcW w:w="110" w:type="dxa"/>
            <w:tcBorders/>
            <w:shd w:fill="CCEEFF" w:val="clear"/>
            <w:vAlign w:val="center"/>
          </w:tcPr>
          <w:p>
            <w:pPr>
              <w:pStyle w:val="TableContents"/>
              <w:bidi w:val="0"/>
              <w:spacing w:before="0" w:after="283"/>
              <w:jc w:val="left"/>
              <w:rPr/>
            </w:pPr>
            <w:r>
              <w:rPr/>
              <w:t> </w:t>
            </w:r>
            <w:bookmarkStart w:id="176" w:name="xdx_402_eus-gaap--NetIncomeLoss_zYj5lbfH"/>
            <w:bookmarkEnd w:id="17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(2,646,172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(2,646,172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7" w:name="xdx_432_c20250401__20250630_eus-gaap--St"/>
            <w:bookmarkEnd w:id="17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March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78" w:name="xdx_984_eus-gaap--SharesOutstanding_iS_p"/>
            <w:bookmarkEnd w:id="178"/>
          </w:p>
        </w:tc>
        <w:tc>
          <w:tcPr>
            <w:tcW w:w="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 w:name="xdx_984_eus-gaap--SharesOutstanding_iS_p"/>
            <w:bookmarkEnd w:id="179"/>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122,851,583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(125,707,745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33,134</w:t>
            </w:r>
          </w:p>
        </w:tc>
        <w:tc>
          <w:tcPr>
            <w:tcW w:w="110" w:type="dxa"/>
            <w:tcBorders/>
            <w:shd w:fill="CCEEFF" w:val="clear"/>
            <w:vAlign w:val="center"/>
          </w:tcPr>
          <w:p>
            <w:pPr>
              <w:pStyle w:val="TableContents"/>
              <w:bidi w:val="0"/>
              <w:spacing w:before="0" w:after="283"/>
              <w:jc w:val="left"/>
              <w:rPr/>
            </w:pPr>
            <w:r>
              <w:rPr/>
              <w:t> </w:t>
            </w:r>
            <w:bookmarkStart w:id="180" w:name="xdx_43C_c20250401__20250630_eus-gaap--St"/>
            <w:bookmarkEnd w:id="18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81" w:name="xdx_986_eus-gaap--SharesOutstanding_iS_p"/>
            <w:bookmarkEnd w:id="181"/>
          </w:p>
        </w:tc>
        <w:tc>
          <w:tcPr>
            <w:tcW w:w="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 w:name="xdx_98C_eus-gaap--SharesOutstanding_iS_p"/>
            <w:bookmarkEnd w:id="18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122,851,583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(125,707,745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33,134</w:t>
            </w:r>
          </w:p>
        </w:tc>
        <w:tc>
          <w:tcPr>
            <w:tcW w:w="110" w:type="dxa"/>
            <w:tcBorders/>
            <w:shd w:fill="CCEEFF" w:val="clear"/>
            <w:vAlign w:val="center"/>
          </w:tcPr>
          <w:p>
            <w:pPr>
              <w:pStyle w:val="TableContents"/>
              <w:bidi w:val="0"/>
              <w:spacing w:before="0" w:after="283"/>
              <w:jc w:val="left"/>
              <w:rPr/>
            </w:pPr>
            <w:r>
              <w:rPr/>
              <w:t> </w:t>
            </w:r>
            <w:bookmarkStart w:id="183" w:name="xdx_405_ecustom--StockIssuedDuringPeriod"/>
            <w:bookmarkEnd w:id="183"/>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the conversion of Series A-2 preferred shares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84" w:name="xdx_983_ecustom--StockIssuedDuringPeriod"/>
            <w:bookmarkEnd w:id="184"/>
          </w:p>
        </w:tc>
        <w:tc>
          <w:tcPr>
            <w:tcW w:w="6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5" w:name="xdx_983_ecustom--StockIssuedDuringPeriod"/>
            <w:bookmarkEnd w:id="18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6" w:name="xdx_402_eus-gaap--NetIncomeLoss_z7QDSY1P"/>
            <w:bookmarkEnd w:id="18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(1,685,417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(1,685,417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7" w:name="xdx_435_c20250401__20250630_eus-gaap--St"/>
            <w:bookmarkEnd w:id="187"/>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8" w:name="xdx_982_eus-gaap--SharesOutstanding_iE_p"/>
            <w:bookmarkEnd w:id="188"/>
          </w:p>
        </w:tc>
        <w:tc>
          <w:tcPr>
            <w:tcW w:w="6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2,790,007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9" w:name="xdx_98C_eus-gaap--SharesOutstanding_iE_p"/>
            <w:bookmarkEnd w:id="18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1,635,475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122,884,659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(127,393,162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(1,652,283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0" w:name="xdx_432_c20250401__20250630_eus-gaap--St"/>
            <w:bookmarkEnd w:id="19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1" w:name="xdx_985_eus-gaap--SharesOutstanding_iE_p"/>
            <w:bookmarkEnd w:id="191"/>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2,790,007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2" w:name="xdx_986_eus-gaap--SharesOutstanding_iE_p"/>
            <w:bookmarkEnd w:id="19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122,884,659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(127,393,162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(1,652,283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AIXCRPYTO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3" w:name="pp_005"/>
      <w:bookmarkEnd w:id="193"/>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4" w:name="xdx_302_112_zMoovWfb4dOe"/>
      <w:bookmarkStart w:id="195" w:name="xdx_302_112_zMoovWfb4dOe"/>
      <w:bookmarkEnd w:id="195"/>
    </w:p>
    <w:tbl>
      <w:tblPr>
        <w:tblW w:w="10205" w:type="dxa"/>
        <w:jc w:val="left"/>
        <w:tblInd w:w="0" w:type="dxa"/>
        <w:tblLayout w:type="fixed"/>
        <w:tblCellMar>
          <w:top w:w="0" w:type="dxa"/>
          <w:left w:w="0" w:type="dxa"/>
          <w:bottom w:w="0" w:type="dxa"/>
          <w:right w:w="0" w:type="dxa"/>
        </w:tblCellMar>
      </w:tblPr>
      <w:tblGrid>
        <w:gridCol w:w="6669"/>
        <w:gridCol w:w="60"/>
        <w:gridCol w:w="176"/>
        <w:gridCol w:w="1484"/>
        <w:gridCol w:w="119"/>
        <w:gridCol w:w="75"/>
        <w:gridCol w:w="176"/>
        <w:gridCol w:w="1332"/>
        <w:gridCol w:w="114"/>
      </w:tblGrid>
      <w:tr>
        <w:trPr/>
        <w:tc>
          <w:tcPr>
            <w:tcW w:w="66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6" w:name="xdx_498_20260101__20260630_zBZEzplQPoZa"/>
            <w:bookmarkEnd w:id="196"/>
          </w:p>
        </w:tc>
        <w:tc>
          <w:tcPr>
            <w:tcW w:w="16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97" w:name="xdx_49A_20250101__20250630_z3P5DyCsk5U8"/>
            <w:bookmarkEnd w:id="197"/>
          </w:p>
        </w:tc>
        <w:tc>
          <w:tcPr>
            <w:tcW w:w="15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4" w:type="dxa"/>
            <w:tcBorders/>
            <w:vAlign w:val="center"/>
          </w:tcPr>
          <w:p>
            <w:pPr>
              <w:pStyle w:val="TableContents"/>
              <w:bidi w:val="0"/>
              <w:spacing w:before="0" w:after="283"/>
              <w:jc w:val="left"/>
              <w:rPr/>
            </w:pPr>
            <w:r>
              <w:rPr/>
              <w:t> </w:t>
            </w:r>
          </w:p>
        </w:tc>
      </w:tr>
      <w:tr>
        <w:trPr/>
        <w:tc>
          <w:tcPr>
            <w:tcW w:w="66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Six Months ended June 30,</w:t>
            </w:r>
          </w:p>
        </w:tc>
        <w:tc>
          <w:tcPr>
            <w:tcW w:w="114" w:type="dxa"/>
            <w:tcBorders/>
            <w:vAlign w:val="center"/>
          </w:tcPr>
          <w:p>
            <w:pPr>
              <w:pStyle w:val="TableContents"/>
              <w:bidi w:val="0"/>
              <w:spacing w:before="0" w:after="283"/>
              <w:jc w:val="left"/>
              <w:rPr/>
            </w:pPr>
            <w:r>
              <w:rPr/>
              <w:t> </w:t>
            </w:r>
          </w:p>
        </w:tc>
      </w:tr>
      <w:tr>
        <w:trPr/>
        <w:tc>
          <w:tcPr>
            <w:tcW w:w="66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4" w:type="dxa"/>
            <w:tcBorders/>
            <w:vAlign w:val="center"/>
          </w:tcPr>
          <w:p>
            <w:pPr>
              <w:pStyle w:val="TableContents"/>
              <w:bidi w:val="0"/>
              <w:spacing w:before="0" w:after="283"/>
              <w:jc w:val="left"/>
              <w:rPr/>
            </w:pPr>
            <w:r>
              <w:rPr/>
              <w:t> </w:t>
            </w:r>
            <w:bookmarkStart w:id="198" w:name="xdx_403_eus-gaap--NetCashProvidedByUsedI"/>
            <w:bookmarkEnd w:id="198"/>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 w:name="xdx_401_eus-gaap--NetIncomeLoss_i01_maNC"/>
            <w:bookmarkEnd w:id="199"/>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(10,266,621</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(4,331,588</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0" w:name="xdx_40E_eus-gaap--AdjustmentsToReconcile"/>
            <w:bookmarkEnd w:id="200"/>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loss from operations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01" w:name="xdx_404_eus-gaap--ShareBasedCompensation"/>
            <w:bookmarkEnd w:id="201"/>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w:t>
            </w:r>
          </w:p>
        </w:tc>
        <w:tc>
          <w:tcPr>
            <w:tcW w:w="114" w:type="dxa"/>
            <w:tcBorders/>
            <w:shd w:fill="FFFFFF" w:val="clear"/>
            <w:vAlign w:val="center"/>
          </w:tcPr>
          <w:p>
            <w:pPr>
              <w:pStyle w:val="TableContents"/>
              <w:bidi w:val="0"/>
              <w:spacing w:before="0" w:after="283"/>
              <w:jc w:val="left"/>
              <w:rPr/>
            </w:pPr>
            <w:r>
              <w:rPr/>
              <w:t> </w:t>
            </w:r>
            <w:bookmarkStart w:id="202" w:name="xdx_40B_eus-gaap--FairValueAdjustmentOfW"/>
            <w:bookmarkEnd w:id="202"/>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(74,625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(55,199</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 w:name="xdx_406_ecustom--GainOnChangeInFairValue"/>
            <w:bookmarkEnd w:id="203"/>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change in fair value of convertible debt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(10,236</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(37,874</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 w:name="xdx_403_ecustom--GainLossOnIssuanceOfCon"/>
            <w:bookmarkEnd w:id="204"/>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debt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91,943</w:t>
            </w:r>
          </w:p>
        </w:tc>
        <w:tc>
          <w:tcPr>
            <w:tcW w:w="114" w:type="dxa"/>
            <w:tcBorders/>
            <w:shd w:fill="CCEEFF" w:val="clear"/>
            <w:vAlign w:val="center"/>
          </w:tcPr>
          <w:p>
            <w:pPr>
              <w:pStyle w:val="TableContents"/>
              <w:bidi w:val="0"/>
              <w:spacing w:before="0" w:after="283"/>
              <w:jc w:val="left"/>
              <w:rPr/>
            </w:pPr>
            <w:r>
              <w:rPr/>
              <w:t> </w:t>
            </w:r>
            <w:bookmarkStart w:id="205" w:name="xdx_400_ecustom--LegalExpensesDeductedFr"/>
            <w:bookmarkEnd w:id="205"/>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 deducted from issuance of convertible debt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14" w:type="dxa"/>
            <w:tcBorders/>
            <w:shd w:fill="FFFFFF" w:val="clear"/>
            <w:vAlign w:val="center"/>
          </w:tcPr>
          <w:p>
            <w:pPr>
              <w:pStyle w:val="TableContents"/>
              <w:bidi w:val="0"/>
              <w:spacing w:before="0" w:after="283"/>
              <w:jc w:val="left"/>
              <w:rPr/>
            </w:pPr>
            <w:r>
              <w:rPr/>
              <w:t> </w:t>
            </w:r>
            <w:bookmarkStart w:id="206" w:name="xdx_401_ecustom--GainLossOnSettlementOfS"/>
            <w:bookmarkEnd w:id="206"/>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settlement of short-term note receivable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375,844</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07" w:name="xdx_407_eus-gaap--ProvisionForOtherCredi"/>
            <w:bookmarkEnd w:id="207"/>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of short-term note receivable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142,574</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468,000</w:t>
            </w:r>
          </w:p>
        </w:tc>
        <w:tc>
          <w:tcPr>
            <w:tcW w:w="114" w:type="dxa"/>
            <w:tcBorders/>
            <w:shd w:fill="FFFFFF" w:val="clear"/>
            <w:vAlign w:val="center"/>
          </w:tcPr>
          <w:p>
            <w:pPr>
              <w:pStyle w:val="TableContents"/>
              <w:bidi w:val="0"/>
              <w:spacing w:before="0" w:after="283"/>
              <w:jc w:val="left"/>
              <w:rPr/>
            </w:pPr>
            <w:r>
              <w:rPr/>
              <w:t> </w:t>
            </w:r>
            <w:bookmarkStart w:id="208" w:name="xdx_409_eus-gaap--ImpairmentOfIntangible"/>
            <w:bookmarkEnd w:id="208"/>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182,619</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09" w:name="xdx_40C_ecustom--AccruedInterestOnShortt"/>
            <w:bookmarkEnd w:id="209"/>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income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(277,550</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(251,304</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0" w:name="xdx_409_ecustom--AmortizationOfPenaltyOn"/>
            <w:bookmarkEnd w:id="210"/>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penalty on promissory note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179,667</w:t>
            </w:r>
          </w:p>
        </w:tc>
        <w:tc>
          <w:tcPr>
            <w:tcW w:w="114" w:type="dxa"/>
            <w:tcBorders/>
            <w:shd w:fill="CCEEFF" w:val="clear"/>
            <w:vAlign w:val="center"/>
          </w:tcPr>
          <w:p>
            <w:pPr>
              <w:pStyle w:val="TableContents"/>
              <w:bidi w:val="0"/>
              <w:spacing w:before="0" w:after="283"/>
              <w:jc w:val="left"/>
              <w:rPr/>
            </w:pPr>
            <w:r>
              <w:rPr/>
              <w:t> </w:t>
            </w:r>
            <w:bookmarkStart w:id="211" w:name="xdx_408_eus-gaap--CryptoAssetRealizedGai"/>
            <w:bookmarkEnd w:id="211"/>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on digital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2,929,946</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12" w:name="xdx_40E_ecustom--OtherOperatingActivitie"/>
            <w:bookmarkEnd w:id="212"/>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operating activities settled in digital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337,839</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13" w:name="xdx_40F_eus-gaap--IncreaseDecreaseInOper"/>
            <w:bookmarkEnd w:id="213"/>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14" w:name="xdx_402_eus-gaap--IncreaseDecreaseInPrep"/>
            <w:bookmarkEnd w:id="214"/>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111,674</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1,182,643</w:t>
            </w:r>
          </w:p>
        </w:tc>
        <w:tc>
          <w:tcPr>
            <w:tcW w:w="114" w:type="dxa"/>
            <w:tcBorders/>
            <w:shd w:fill="FFFFFF" w:val="clear"/>
            <w:vAlign w:val="center"/>
          </w:tcPr>
          <w:p>
            <w:pPr>
              <w:pStyle w:val="TableContents"/>
              <w:bidi w:val="0"/>
              <w:spacing w:before="0" w:after="283"/>
              <w:jc w:val="left"/>
              <w:rPr/>
            </w:pPr>
            <w:r>
              <w:rPr/>
              <w:t> </w:t>
            </w:r>
            <w:bookmarkStart w:id="215" w:name="xdx_400_eus-gaap--IncreaseDecreaseInAcco"/>
            <w:bookmarkEnd w:id="215"/>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27,037</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(163,454</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6" w:name="xdx_407_eus-gaap--IncreaseDecreaseInOthe"/>
            <w:bookmarkEnd w:id="216"/>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(6,757</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209,390</w:t>
            </w:r>
          </w:p>
        </w:tc>
        <w:tc>
          <w:tcPr>
            <w:tcW w:w="114" w:type="dxa"/>
            <w:tcBorders/>
            <w:shd w:fill="FFFFFF" w:val="clear"/>
            <w:vAlign w:val="center"/>
          </w:tcPr>
          <w:p>
            <w:pPr>
              <w:pStyle w:val="TableContents"/>
              <w:bidi w:val="0"/>
              <w:spacing w:before="0" w:after="283"/>
              <w:jc w:val="left"/>
              <w:rPr/>
            </w:pPr>
            <w:r>
              <w:rPr/>
              <w:t> </w:t>
            </w:r>
            <w:bookmarkStart w:id="217" w:name="xdx_402_eus-gaap--IncreaseDecreaseInAcco"/>
            <w:bookmarkEnd w:id="217"/>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payables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(1,411,653</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18" w:name="xdx_400_eus-gaap--NetCashProvidedByUsedI"/>
            <w:bookmarkEnd w:id="218"/>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(7,939,909</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(2,687,507</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19" w:name="xdx_400_eus-gaap--NetCashProvidedByUsedI"/>
            <w:bookmarkEnd w:id="219"/>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20" w:name="xdx_402_eus-gaap--PaymentsForProceedsFro"/>
            <w:bookmarkEnd w:id="220"/>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short-term note receivable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(1,518,500</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1" w:name="xdx_405_eus-gaap--PaymentForAcquisitionC"/>
            <w:bookmarkEnd w:id="221"/>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(338,102</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22" w:name="xdx_405_eus-gaap--ProceedsFromDisposalCr"/>
            <w:bookmarkEnd w:id="222"/>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2,107,911</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23" w:name="xdx_40D_eus-gaap--PaymentsToAcquireIntan"/>
            <w:bookmarkEnd w:id="223"/>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(553,279</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24" w:name="xdx_40B_ecustom--ProceedsFromSettlementO"/>
            <w:bookmarkEnd w:id="224"/>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settlement of short-term note receivable</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25" w:name="xdx_40F_eus-gaap--NetCashProvidedByUsedI"/>
            <w:bookmarkEnd w:id="225"/>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1,316,530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(1,518,500</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26" w:name="xdx_40B_eus-gaap--NetCashProvidedByUsedI"/>
            <w:bookmarkEnd w:id="226"/>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27" w:name="xdx_40C_ecustom--ParentCompanyEquityHeld"/>
            <w:bookmarkEnd w:id="227"/>
          </w:p>
        </w:tc>
      </w:tr>
      <w:tr>
        <w:trPr/>
        <w:tc>
          <w:tcPr>
            <w:tcW w:w="6669" w:type="dxa"/>
            <w:tcBorders/>
            <w:shd w:fill="CCEEFF" w:val="clear"/>
            <w:vAlign w:val="center"/>
          </w:tcPr>
          <w:p>
            <w:pPr>
              <w:pStyle w:val="TableContents"/>
              <w:bidi w:val="0"/>
              <w:spacing w:before="0" w:after="283"/>
              <w:jc w:val="left"/>
              <w:rPr/>
            </w:pPr>
            <w:r>
              <w:rPr/>
              <w:t>Parent company equity held at cost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(12,000,000</w:t>
            </w:r>
          </w:p>
        </w:tc>
        <w:tc>
          <w:tcPr>
            <w:tcW w:w="119"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28" w:name="xdx_402_eus-gaap--ProceedsFromIssuanceOf"/>
            <w:bookmarkEnd w:id="228"/>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issuance of convertible debt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4" w:type="dxa"/>
            <w:tcBorders/>
            <w:shd w:fill="FFFFFF" w:val="clear"/>
            <w:vAlign w:val="center"/>
          </w:tcPr>
          <w:p>
            <w:pPr>
              <w:pStyle w:val="TableContents"/>
              <w:bidi w:val="0"/>
              <w:spacing w:before="0" w:after="283"/>
              <w:jc w:val="left"/>
              <w:rPr/>
            </w:pPr>
            <w:r>
              <w:rPr/>
              <w:t> </w:t>
            </w:r>
            <w:bookmarkStart w:id="229" w:name="xdx_40D_eus-gaap--RepaymentsOfConvertibl"/>
            <w:bookmarkEnd w:id="229"/>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debt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(132,000</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0" w:name="xdx_407_ecustom--ProceedsFromIssuanceOfP"/>
            <w:bookmarkEnd w:id="230"/>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promissory notes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3,295,000</w:t>
            </w:r>
          </w:p>
        </w:tc>
        <w:tc>
          <w:tcPr>
            <w:tcW w:w="114" w:type="dxa"/>
            <w:tcBorders/>
            <w:shd w:fill="FFFFFF" w:val="clear"/>
            <w:vAlign w:val="center"/>
          </w:tcPr>
          <w:p>
            <w:pPr>
              <w:pStyle w:val="TableContents"/>
              <w:bidi w:val="0"/>
              <w:spacing w:before="0" w:after="283"/>
              <w:jc w:val="left"/>
              <w:rPr/>
            </w:pPr>
            <w:r>
              <w:rPr/>
              <w:t> </w:t>
            </w:r>
            <w:bookmarkStart w:id="231" w:name="xdx_40C_eus-gaap--NetCashProvidedByUsedI"/>
            <w:bookmarkEnd w:id="231"/>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in)/provided by financing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(12,132,000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3,363,000</w:t>
            </w:r>
          </w:p>
        </w:tc>
        <w:tc>
          <w:tcPr>
            <w:tcW w:w="114" w:type="dxa"/>
            <w:tcBorders/>
            <w:shd w:fill="CCEE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2" w:name="xdx_403_eus-gaap--CashCashEquivalentsRes"/>
            <w:bookmarkEnd w:id="232"/>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(18,755,379</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(843,007</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3" w:name="xdx_404_eus-gaap--CashCashEquivalentsRes"/>
            <w:bookmarkEnd w:id="233"/>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19,332,707</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1,174,608</w:t>
            </w:r>
          </w:p>
        </w:tc>
        <w:tc>
          <w:tcPr>
            <w:tcW w:w="114" w:type="dxa"/>
            <w:tcBorders/>
            <w:shd w:fill="FFFFFF" w:val="clear"/>
            <w:vAlign w:val="center"/>
          </w:tcPr>
          <w:p>
            <w:pPr>
              <w:pStyle w:val="TableContents"/>
              <w:bidi w:val="0"/>
              <w:spacing w:before="0" w:after="283"/>
              <w:jc w:val="left"/>
              <w:rPr/>
            </w:pPr>
            <w:r>
              <w:rPr/>
              <w:t> </w:t>
            </w:r>
            <w:bookmarkStart w:id="234" w:name="xdx_401_eus-gaap--CashCashEquivalentsRes"/>
            <w:bookmarkEnd w:id="234"/>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577,328</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331,601</w:t>
            </w:r>
          </w:p>
        </w:tc>
        <w:tc>
          <w:tcPr>
            <w:tcW w:w="114" w:type="dxa"/>
            <w:tcBorders/>
            <w:shd w:fill="CCEE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5" w:name="xdx_405_eus-gaap--SupplementalCashFlowIn"/>
            <w:bookmarkEnd w:id="235"/>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6" w:name="xdx_405_eus-gaap--InterestPaidNet_i01_zP"/>
            <w:bookmarkEnd w:id="236"/>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37" w:name="xdx_405_eus-gaap--IncomeTaxesPaidNet_i01"/>
            <w:bookmarkEnd w:id="237"/>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6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38" w:name="xdx_40A_eus-gaap--NoncashInvestingAndFin"/>
            <w:bookmarkEnd w:id="238"/>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AND INVESTING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9" w:name="xdx_40C_ecustom--DeemedDividendArisingFr"/>
            <w:bookmarkEnd w:id="239"/>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arising from warrant down-round provision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1,586</w:t>
            </w:r>
          </w:p>
        </w:tc>
        <w:tc>
          <w:tcPr>
            <w:tcW w:w="114" w:type="dxa"/>
            <w:tcBorders/>
            <w:shd w:fill="CCEEFF" w:val="clear"/>
            <w:vAlign w:val="center"/>
          </w:tcPr>
          <w:p>
            <w:pPr>
              <w:pStyle w:val="TableContents"/>
              <w:bidi w:val="0"/>
              <w:spacing w:before="0" w:after="283"/>
              <w:jc w:val="left"/>
              <w:rPr/>
            </w:pPr>
            <w:r>
              <w:rPr/>
              <w:t> </w:t>
            </w:r>
            <w:bookmarkStart w:id="240" w:name="xdx_405_eus-gaap--StockIssued1_i01_zGkjj"/>
            <w:bookmarkEnd w:id="240"/>
          </w:p>
        </w:tc>
      </w:tr>
      <w:tr>
        <w:trPr/>
        <w:tc>
          <w:tcPr>
            <w:tcW w:w="66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the conversion of Series B preferred shares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26,432,819</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41" w:name="xdx_40E_ecustom--IssuanceOfCommonStockFo"/>
            <w:bookmarkEnd w:id="241"/>
          </w:p>
        </w:tc>
      </w:tr>
      <w:tr>
        <w:trPr/>
        <w:tc>
          <w:tcPr>
            <w:tcW w:w="66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the conversion of Series A-2 preferred shares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2,926,392</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pp_006"/>
      <w:bookmarkEnd w:id="242"/>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bookmarkStart w:id="243" w:name="xdx_807_eus-gaap--OrganizationConsolidat"/>
      <w:bookmarkEnd w:id="243"/>
      <w:r>
        <w:rPr>
          <w:rFonts w:ascii="Times New Roman;Times;Serif" w:hAnsi="Times New Roman;Times;Serif"/>
          <w:b/>
          <w:i w:val="false"/>
          <w:caps w:val="false"/>
          <w:smallCaps w:val="false"/>
          <w:sz w:val="20"/>
        </w:rPr>
        <w:t xml:space="preserve">NOTE 1 — </w:t>
      </w:r>
      <w:bookmarkStart w:id="244" w:name="xdx_82C_zCAVTlh3Ejgj"/>
      <w:bookmarkEnd w:id="244"/>
      <w:r>
        <w:rPr>
          <w:rFonts w:ascii="Times New Roman;Times;Serif" w:hAnsi="Times New Roman;Times;Serif"/>
          <w:b/>
          <w:i w:val="false"/>
          <w:caps w:val="false"/>
          <w:smallCaps w:val="false"/>
          <w:sz w:val="20"/>
        </w:rPr>
        <w:t>BUSINESS AND SUMMARY OF SIGNIFICANT ACCOUNTING POLICIES AND ESTIMATES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45" w:name="xdx_843_eus-gaap--InvestmentPolicyTextBl"/>
      <w:bookmarkEnd w:id="245"/>
      <w:r>
        <w:rPr>
          <w:rFonts w:ascii="Times New Roman;Times;Serif" w:hAnsi="Times New Roman;Times;Serif"/>
          <w:b/>
          <w:i/>
          <w:caps w:val="false"/>
          <w:smallCaps w:val="false"/>
          <w:sz w:val="20"/>
        </w:rPr>
        <w:t>Corporate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Ritter Pharmaceuticals, Inc. (the Company’s predecessor) was formed as a Nevada limited liability company on March 29, 2004 under the name Ritter Natural Sciences, LLC. In September 2008, this company converted into a Delaware corporation under the name Ritter Pharmaceuticals, Inc. On May 22, 2020, upon completing a “reverse recapitalization” transaction with Qualigen, Inc., Ritter Pharmaceuticals, Inc. was renamed Qualigen Therapeutics, Inc. (the “Company”). Qualisys Diagnostics, Inc. was formed as a Minnesota corporation in 1996, reincorporated to become a Delaware corporation in 1999, and then changed its name to Qualigen, Inc. in 2000. Qualigen, Inc. was a wholly-owned subsidiary of the Company. On July 20, 2023, the Company sold all of the issued and outstanding shares of common stock of Qualigen, Inc. to Chembio Diagnostics, Inc. (“Chembio”), a wholly-owned subsidiary of Biosynex, S.A. (“Biosynex”). Following the consummation of this transaction, Qualigen, Inc. became a wholly-owned subsidiary of Chembio.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the Company acquired a </w:t>
      </w:r>
      <w:bookmarkStart w:id="246" w:name="xdx_90F_eus-gaap--BusinessAcquisitionPer"/>
      <w:bookmarkEnd w:id="246"/>
      <w:r>
        <w:rPr>
          <w:rFonts w:ascii="Times New Roman;Times;Serif" w:hAnsi="Times New Roman;Times;Serif"/>
          <w:b w:val="false"/>
          <w:i w:val="false"/>
          <w:caps w:val="false"/>
          <w:smallCaps w:val="false"/>
          <w:sz w:val="20"/>
        </w:rPr>
        <w:t>52.8% interest in NanoSynex, Ltd. (“NanoSynex”). In 2023, the Company entered into an Amendment and Settlement Agreement with NanoSynex (the “NanoSynex Amendment”), which resulted in the Company losing its controlling interest in NanoSynex.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consummated a Subscription Agreement (the “Subscription Agreement”) with certain investors including Faraday Future Intelligent Electric Inc. (NASDAQ: FFAI) (the “ Company’s majority stockholder” or “Faraday” or “FFAI”) pursuant to which the investors purchased $</w:t>
      </w:r>
      <w:bookmarkStart w:id="247" w:name="xdx_900_eus-gaap--ProceedsFromIssuanceOf"/>
      <w:bookmarkEnd w:id="247"/>
      <w:r>
        <w:rPr>
          <w:rFonts w:ascii="Times New Roman;Times;Serif" w:hAnsi="Times New Roman;Times;Serif"/>
          <w:b w:val="false"/>
          <w:i w:val="false"/>
          <w:caps w:val="false"/>
          <w:smallCaps w:val="false"/>
          <w:sz w:val="20"/>
        </w:rPr>
        <w:t>40.7 million (the “Offering”) of the Company’s common stock and shares of a newly created Series B Convertible Preferred Stock, par value $</w:t>
      </w:r>
      <w:bookmarkStart w:id="248" w:name="xdx_908_eus-gaap--PreferredStockParOrSta"/>
      <w:bookmarkEnd w:id="248"/>
      <w:r>
        <w:rPr>
          <w:rFonts w:ascii="Times New Roman;Times;Serif" w:hAnsi="Times New Roman;Times;Serif"/>
          <w:b w:val="false"/>
          <w:i w:val="false"/>
          <w:caps w:val="false"/>
          <w:smallCaps w:val="false"/>
          <w:sz w:val="20"/>
        </w:rPr>
        <w:t>0.001 per share (the “Series B Preferred Stock”) (see Note 14 - Stockholders’ Equity). This offering resulted in $</w:t>
      </w:r>
      <w:bookmarkStart w:id="249" w:name="xdx_90A_eus-gaap--ProceedsFromIssuanceOf"/>
      <w:bookmarkEnd w:id="249"/>
      <w:r>
        <w:rPr>
          <w:rFonts w:ascii="Times New Roman;Times;Serif" w:hAnsi="Times New Roman;Times;Serif"/>
          <w:b w:val="false"/>
          <w:i w:val="false"/>
          <w:caps w:val="false"/>
          <w:smallCaps w:val="false"/>
          <w:sz w:val="20"/>
        </w:rPr>
        <w:t>37.7 million in net proceeds after $</w:t>
      </w:r>
      <w:bookmarkStart w:id="250" w:name="xdx_903_eus-gaap--PaymentsOfStockIssuanc"/>
      <w:bookmarkEnd w:id="250"/>
      <w:r>
        <w:rPr>
          <w:rFonts w:ascii="Times New Roman;Times;Serif" w:hAnsi="Times New Roman;Times;Serif"/>
          <w:b w:val="false"/>
          <w:i w:val="false"/>
          <w:caps w:val="false"/>
          <w:smallCaps w:val="false"/>
          <w:sz w:val="20"/>
        </w:rPr>
        <w:t>3.0 million in issuance costs were deducted. Up to $</w:t>
      </w:r>
      <w:bookmarkStart w:id="251" w:name="xdx_90B_eus-gaap--ProceedsFromIssuanceIn"/>
      <w:bookmarkEnd w:id="251"/>
      <w:r>
        <w:rPr>
          <w:rFonts w:ascii="Times New Roman;Times;Serif" w:hAnsi="Times New Roman;Times;Serif"/>
          <w:b w:val="false"/>
          <w:i w:val="false"/>
          <w:caps w:val="false"/>
          <w:smallCaps w:val="false"/>
          <w:sz w:val="20"/>
        </w:rPr>
        <w:t>6.8 million of the net proceeds from the Offering were used to pay existing debt and fund the Company’s existing business operations, and the balance of the cash proceeds and contributed currency will be used for the execution of the Company’s cryptocurrency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formed three new wholly owned Delaware subsidiaries: AIxCrypto Token Labs US, Inc., AIxCrypto EAI, Inc., and AIxCrypto C10 ETF, Inc. These entities were formed to provide potential future organizational flexibility. As of June 30, 2026, these subsidiaries have not commenced operations, hold no material assets, and have not been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Company’s board of directors approved a strategic realignment to concentrate exclusively on its Real-World Asset (“RWA”) tokenization and Embodied Artificial Intelligence (“EAI”) ecosystem, discontinuing development of the BesTrade DeAI Agent platform and C10 digital asset portfolio management tools. At that time, management continued to evaluate strategic alternatives for its remaining legacy therapeutic programs, including potential out-licensing or asset sale.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following a comprehensive strategic review, the Board formally approved the discontinuation and structured wind-down of the Company’s entire legacy biotechnology business segment, marking the full termination of all historical biopharmaceutical and therapeutic operations SEC. The Company is currently evaluating the financial impact of the wind-down, including expected asset impairment charges, closure costs and other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launched at Automate 2026 as an on-demand robot sharing marketplace, with Los Angeles serving as the initial pilot market. The pilot is targeted to begin in August 2026, subject to operational readiness, execution, and applicable revenue-recognition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2" w:name="xdx_841_eus-gaap--BasisOfAccountingPolic"/>
      <w:bookmarkEnd w:id="252"/>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or footnote disclosures normally included in financial statements prepared in accordance with Generally Accepted Accounting Principles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for the year ended December 31, 2025, which contains the audited financial statements and notes thereto. The financial information as of December 31, 2025 is derived from the audited financial statements presented in the Company’s Annual Report on Form 10-K for the year ended December 31, 2025. The interim results for the three and six months ended June 30, 2026 are not necessarily indicative of the results to be expected for the year ending December 31, 2026 or for any future periods.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3" w:name="xdx_84F_eus-gaap--ConsolidationPolicyTex"/>
      <w:bookmarkEnd w:id="253"/>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wholly-owned subsidiaries. All intercompany balances and transactions have been eliminated in consolidation. In general, the functional currency of the Company is the U.S. dollar. There were no foreign currency transactions in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54" w:name="xdx_84E_eus-gaap--UseOfEstimates_zOkuXQX"/>
      <w:bookmarkEnd w:id="254"/>
      <w:r>
        <w:rPr>
          <w:rFonts w:ascii="Times New Roman;Times;Serif" w:hAnsi="Times New Roman;Times;Serif"/>
          <w:b/>
          <w:i/>
          <w:caps w:val="false"/>
          <w:smallCaps w:val="false"/>
          <w:sz w:val="20"/>
        </w:rPr>
        <w:t>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estimates and assumptions in preparing its consolidated financial statements in accordance with U.S. GAAP. Those estimates and assumptions affect the reported amounts of assets and liabilities, the disclosure of contingent assets and liabilities, and the reported revenues and expenses. The Company’s estimates relate to the estimated fair value of convertible debt, warrant liabilities, and determination of the allowance for credit losses. Actual results could vary from the estimates that were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5" w:name="xdx_843_ecustom--RelatedPartiesAndRelate"/>
      <w:bookmarkEnd w:id="255"/>
      <w:r>
        <w:rPr>
          <w:rFonts w:ascii="Times New Roman;Times;Serif" w:hAnsi="Times New Roman;Times;Serif"/>
          <w:b/>
          <w:i/>
          <w:caps w:val="false"/>
          <w:smallCaps w:val="false"/>
          <w:sz w:val="20"/>
        </w:rPr>
        <w:t>Related Parties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is a person who has the ability to exert significant influence over the Company and may include executive officers and directors, including members of their immediate families, shareholders owning more than 10% of the Company’s voting securities, or other entities deemed to be affiliates, as defined in ASC 850, Related Party Disclosures. The Company assesses its related parties and applicable disclosures on a quarterly basis, considering all relevant facts and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6" w:name="xdx_845_eus-gaap--CashAndCashEquivalents"/>
      <w:bookmarkEnd w:id="256"/>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an initial maturity of 90 days or less and money market funds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majority of its cash in accounts at banking institutions in the U.S. that are of high quality. Cash held in these accounts often exceed the Federal Deposit Insurance Corporation (“FDIC”) insurance limits. If such banking institutions were to fail, the Company could lose all or a portion of amounts held in excess of such insurance limitations. As of June 30, 2026, the Company had not experienced losses on these accounts, and management believes the Company is not exposed to significant risk on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7" w:name="xdx_843_ecustom--PlatformOperatorsCrypto"/>
      <w:bookmarkEnd w:id="257"/>
      <w:r>
        <w:rPr>
          <w:rFonts w:ascii="Times New Roman;Times;Serif" w:hAnsi="Times New Roman;Times;Serif"/>
          <w:b/>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digital assets in accordance with ASC 350, Intangibles—Goodwill and Other, as amended by ASU 2023-08, Accounting for and Disclosure of Crypto Assets. The Company adopted ASU 2023-08 effective January 1, 2025. Digital assets held by the Company, including Bitcoin, Cardano, Chainlink, Ethereum, Native BNB, Ripple, Solana, Tether (“USDT”), and Tron, meet the scope criteria of ASU 2023-08 and are recognized as indefinite-lived intangible assets. These assets are initially recorded at cost, including transaction fees, upon obtaining control of the asset, and are measured subsequently at fair value with changes in value recognized in net income or loss. The Company uses a FIFO methodology to assign costs to digital assets for purposes of the digital assets held and realized gains and losses disclosures. Purchases and sales of digital assets that are not revenue arrangements are classified on the statement of cash flows as investing activities. Net loss on digital assets are adjusted in operating activities in the statement of cash flows.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8" w:name="xdx_847_ecustom--SoftwareCapitalizationP"/>
      <w:bookmarkEnd w:id="258"/>
      <w:r>
        <w:rPr>
          <w:rFonts w:ascii="Times New Roman;Times;Serif" w:hAnsi="Times New Roman;Times;Serif"/>
          <w:b/>
          <w:i/>
          <w:caps w:val="false"/>
          <w:smallCaps w:val="false"/>
          <w:sz w:val="20"/>
        </w:rPr>
        <w:t xml:space="preserve">Software Capitalization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costs incurred in developing its product offerings under ASC 350-40, </w:t>
      </w:r>
      <w:r>
        <w:rPr>
          <w:rFonts w:ascii="Times New Roman;Times;Serif" w:hAnsi="Times New Roman;Times;Serif"/>
          <w:b w:val="false"/>
          <w:i/>
          <w:caps w:val="false"/>
          <w:smallCaps w:val="false"/>
          <w:sz w:val="20"/>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guidance in ASC 350-40, the Company will capitalize costs incurred in connection with the development of the Company’s product offerings during the application development stage. Costs incurred during the preliminary project and post-implementation stages are expensed as incurred. Costs incurred in connection with maintenance activities, including training or bug fixes are also expensed as incurred. The Company stops capitalizing qualifying costs once development activities are completed and the project is ready for its intended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software costs will be amortized on a straight-line basis over a 36-month useful life beginning on the date when the product is ready for its intended use. Management will subsequently test the capitalized software costs for impairment when events or changes in circumstances indicate that the carrying amount may not be recoverable in accordance with ASC 360.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9" w:name="xdx_84B_ecustom--DerivativeFinancialInst"/>
      <w:bookmarkEnd w:id="259"/>
      <w:r>
        <w:rPr>
          <w:rFonts w:ascii="Times New Roman;Times;Serif" w:hAnsi="Times New Roman;Times;Serif"/>
          <w:b/>
          <w:i/>
          <w:caps w:val="false"/>
          <w:smallCaps w:val="false"/>
          <w:sz w:val="20"/>
        </w:rPr>
        <w:t>Derivative Financial Instruments and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For derivative financial instruments that are accounted for as liabilities, the derivative instrument is initially recorded at its fair value and is then re-valued at each reporting date, with changes in the fair value reported in the unaudited condensed consolidated statements of operations and comprehensive loss. Depending on the features of the derivative financial instrument, the Company uses either the Black-Scholes option-pricing model or a Monte-Carlo simulation to value the derivative instruments at inception and subsequent valuation dates. The classification of derivative instruments, including whether such instruments should be recorded as liabilities or as equity, is re-assessed at the end of each reporting period (See Note 8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0" w:name="xdx_841_eus-gaap--FairValueMeasurementPo"/>
      <w:bookmarkEnd w:id="260"/>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measurements of applicable assets and liabilities based on a three-tier fair value hierarchy established by accounting guidance and prioritizes the inputs used in measuring fair value.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that reflect unadjusted quoted prices in active markets for identical assets or liabilities that the Company has the ability to access at the measurement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quoted prices that are observable for the assets or liability either directly or indirectly, including inputs in markets that are not considered to be active;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1" w:name="xdx_841_eus-gaap--FairValueOfFinancialIn"/>
      <w:bookmarkEnd w:id="261"/>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prepaid expenses, and accrued liabilities are carried at cost, which management believes approximates fair value due to the short-term nature of these instruments. Short-term notes receivable are valued subject to a current expected credit loss (“CECL”) model (see Note 6 - Short-Term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Company’s warrant liabilities as of June 30, 2026 and December 31, 2025 was determined using the Black-Scholes Model. Significant assumptions used in the valuation include the expected volatility of the Company’s common stock, the contractual term of the warrants, the risk-free interest rate, and an expected dividend yield of zero. Expected volatility is based on a blend of comparable public company data and, as available, the Company’s own historical volatility. The risk-free rate is derived from U.S. Treasury yields with maturities commensurate with the remaining contractual term of the warrants. Fair value measurements associated with the liability-classified warrants represent Level 3 valuations under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from time to time elects the fair value option to account for certain debt liabilities. Electing the fair value option allows the Company to initially and subsequently measure such liabilities at fair value rather than amortized cost and may be applied to debt liabilities that contain conversion or other features that would otherwise require bifurcation and mark to market accounting. Such debt liabilities will initially be measured using valuation techniques appropriate to the terms and expected life of the note. The Company expects to use level 3 input to measure the fair value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2" w:name="xdx_84B_ecustom--ParentCompanyEquityHeld"/>
      <w:bookmarkEnd w:id="262"/>
      <w:r>
        <w:rPr>
          <w:rFonts w:ascii="Times New Roman;Times;Serif" w:hAnsi="Times New Roman;Times;Serif"/>
          <w:b/>
          <w:i/>
          <w:caps w:val="false"/>
          <w:smallCaps w:val="false"/>
          <w:sz w:val="20"/>
        </w:rPr>
        <w:t>Parent Company Equity Held at Cost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entrusted investment arrangement with Gold King Arthur Holding Limited (“GKA”), an independent third-party fiduciary, pursuant to which GKA acquires, holds and manages equity securities of the Company’s majority stockholder, FFAI, for the Company’s economic benefit. Consistent with EITF Issue No. 98-2 and based on the parent-directed nature of the arrangement, the Company has elected an accounting policy to present its indirect investment in FFAI equity securities, including FFAI’s common stock, preferred stock and warrants, as parent company equity held at cost, a contra-equity account classified within stockholders’ equity and accounted for analogously to treasury stock at historical cost, with no subsequent remeasurement for fair value changes recognized in the condensed consolidated statements of operations; warrants issued in connection with the investment are an integral component of the integrated parent-directed transaction and do not represent a separate unit of account, so no portion of the aggregate subscription proceeds is allocated to the warrants and no separate warrant asset or liability is recognized, and any gain or loss upon future disposition, conversion or settlement of the underlying securities is recognized in the condensed consolidated statements of operations upon disposition.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3" w:name="xdx_84A_eus-gaap--SellingGeneralAndAdmin"/>
      <w:bookmarkEnd w:id="263"/>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are expensed as incurred and primarily consist of direct costs associated with branding, promotional, co-creation, and publicity activities. The Company’s marketing initiatives focus on increasing brand awareness for its real-world asset tokenization and embodied AI Infrastructure activities. For the six months ending June 30 2026 and 2025, the Company’s sales and marketing expenses were $</w:t>
      </w:r>
      <w:bookmarkStart w:id="264" w:name="xdx_90B_eus-gaap--SellingAndMarketingExp"/>
      <w:bookmarkEnd w:id="264"/>
      <w:r>
        <w:rPr>
          <w:rFonts w:ascii="Times New Roman;Times;Serif" w:hAnsi="Times New Roman;Times;Serif"/>
          <w:b w:val="false"/>
          <w:i w:val="false"/>
          <w:caps w:val="false"/>
          <w:smallCaps w:val="false"/>
          <w:sz w:val="20"/>
        </w:rPr>
        <w:t>723,937 and $</w:t>
      </w:r>
      <w:bookmarkStart w:id="265" w:name="xdx_900_eus-gaap--SellingAndMarketingExp"/>
      <w:bookmarkEnd w:id="265"/>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6" w:name="xdx_849_eus-gaap--CompensationRelatedCos"/>
      <w:bookmarkEnd w:id="266"/>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cost for equity awards granted to employees and non-employees is measured at the grant date based on the calculated fair value of the award using the Black-Scholes option-pricing model, and is recognized as an expense, under the straight-line method, over the requisite service period (generally the vesting period of the equity grant). If the Company determines that other methods are more reasonable, or other methods for calculating these assumptions are prescribed by regulators, the fair value calculated for the Company’s stock options could change significantly. Higher volatility, lower risk-free interest rates, and longer expected lives would result in an increase to stock-based compensation expense to employees and non-employees determined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7" w:name="xdx_840_eus-gaap--IncomeTaxPolicyTextBlo"/>
      <w:bookmarkEnd w:id="267"/>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recognized for temporary differences in the basis of assets and liabilities for financial statement and income tax reporting that arise due to net operating loss carry forwards, research and development credit carry forwards and from using different methods and periods to calculate depreciation and amortization, allowance for doubtful accounts, accrued vacation, research and development expenses, and state taxes. A provision has been made for income taxes due on taxable income and for the deferred taxes on the temporary differences. The Company recognizes interest and penalties accrued on any unrecognized tax benefits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 Realization of the deferred income tax asset is dependent on generating sufficient taxable income in future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8" w:name="xdx_844_eus-gaap--NewAccountingPronounce"/>
      <w:bookmarkEnd w:id="268"/>
      <w:r>
        <w:rPr>
          <w:rFonts w:ascii="Times New Roman;Times;Serif" w:hAnsi="Times New Roman;Times;Serif"/>
          <w:b/>
          <w:i/>
          <w:caps w:val="false"/>
          <w:smallCaps w:val="false"/>
          <w:sz w:val="20"/>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recently adopted accounting pronouncements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9" w:name="xdx_842_ecustom--AccountingStandardsUpda"/>
      <w:bookmarkEnd w:id="269"/>
      <w:r>
        <w:rPr>
          <w:rFonts w:ascii="Times New Roman;Times;Serif" w:hAnsi="Times New Roman;Times;Serif"/>
          <w:b/>
          <w:i/>
          <w:caps w:val="false"/>
          <w:smallCaps w:val="false"/>
          <w:sz w:val="20"/>
        </w:rPr>
        <w:t xml:space="preserve">Recently Issued Accounting Standards Not Yet Adopted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and in January 2025, the FASB issued ASU 2025-01, Income Statement—Reporting Comprehensive Income—Expense Disaggregation Disclosures (Subtopic 220-40): Clarifying the Effective Date. The amendments require public business entities to disclose, for each relevant expense caption, specified natural expense categories, including purchases of inventory, employee compensation, depreciation and intangible asset amortization, as applicable, together with a qualitative description of remaining amounts. The amendments also require disclosure of the total amount of selling expenses and, in annual periods, the entity’s definition of selling expenses. The amendments are effective for the Company’s annual financial statements for the year ending December 31, 2027, and interim financial statements beginning with the first fiscal quarter of 2028, with early adoption permitted. The amendments are required to be applied prospectively, with retrospective application permitted. The Company is currently evaluating the impact of the amendments on its disclosures and related processes and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w:t>
      </w:r>
      <w:r>
        <w:rPr>
          <w:rFonts w:ascii="Times New Roman;Times;Serif" w:hAnsi="Times New Roman;Times;Serif"/>
          <w:b w:val="false"/>
          <w:i/>
          <w:caps w:val="false"/>
          <w:smallCaps w:val="false"/>
          <w:sz w:val="20"/>
        </w:rPr>
        <w:t>ASU 2025-11, Interim Reporting (Topic 270): Narrow-Scope Improvements</w:t>
      </w:r>
      <w:r>
        <w:rPr>
          <w:rFonts w:ascii="Times New Roman;Times;Serif" w:hAnsi="Times New Roman;Times;Serif"/>
          <w:b w:val="false"/>
          <w:i w:val="false"/>
          <w:caps w:val="false"/>
          <w:smallCaps w:val="false"/>
          <w:sz w:val="20"/>
        </w:rPr>
        <w:t>, which clarifies interim disclosure requirements resulting in a comprehensive list of interim disclosures that are required by GAAP, and includes a disclosure principle that requires the disclosure of events since the end of the last annual reporting period that have a material impact on the Company. ASU 2025-11 is effective for the Company’s interim financial statements beginning with the first fiscal quarter of the year ended December 31, 2028, with early adoption permitted. ASU 2025-11 may be applied either prospectively or retrospectively. The Company is evaluating the disclosure requirements related to the new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which contains 33 narrow technical corrections, clarifications and editorial updates across multiple ASC Topics, including guidance for earnings per share, parent company equity held at cost, leases and financial instruments. The amendments are effective for annual reporting periods beginning after December 15, 2026, and interim periods within those fiscal years, with early adoption permitted. While most revisions are expected to have an immaterial impact on our condensed consolidated financial statements, the update includes clarifications to diluted EPS calculations for loss periods that will require retrospective application to prior comparative periods upon adoption. The Company is currently evaluating the full effect of this ASU but does not anticipate a material overall impact to its financial position, results of operations or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any other recently issued, but not yet effective accounting pronouncements, if adopted, would have a material impact on our unaudited condensed consolidated financial statements or disclosures.</w:t>
      </w:r>
    </w:p>
    <w:p>
      <w:pPr>
        <w:pStyle w:val="TextBody"/>
        <w:bidi w:val="0"/>
        <w:spacing w:before="0" w:after="0"/>
        <w:ind w:left="0" w:right="0" w:hanging="0"/>
        <w:jc w:val="both"/>
        <w:rPr>
          <w:caps w:val="false"/>
          <w:smallCaps w:val="false"/>
        </w:rPr>
      </w:pPr>
      <w:bookmarkStart w:id="270" w:name="xdx_85A_zl3kEqywY9k4"/>
      <w:bookmarkEnd w:id="27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1" w:name="xdx_804_eus-gaap--SubstantialDoubtAboutG"/>
      <w:bookmarkEnd w:id="271"/>
      <w:r>
        <w:rPr>
          <w:rFonts w:ascii="Times New Roman;Times;Serif" w:hAnsi="Times New Roman;Times;Serif"/>
          <w:b/>
          <w:i w:val="false"/>
          <w:caps w:val="false"/>
          <w:smallCaps w:val="false"/>
          <w:sz w:val="20"/>
        </w:rPr>
        <w:t xml:space="preserve">NOTE 2 — </w:t>
      </w:r>
      <w:bookmarkStart w:id="272" w:name="xdx_82A_zIldVG9rX1vj"/>
      <w:bookmarkEnd w:id="272"/>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position remains weak. It has incurred recurring operating losses, with an accumulated deficit of $</w:t>
      </w:r>
      <w:bookmarkStart w:id="273" w:name="xdx_90C_eus-gaap--RetainedEarningsAccumu"/>
      <w:bookmarkEnd w:id="273"/>
      <w:r>
        <w:rPr>
          <w:rFonts w:ascii="Times New Roman;Times;Serif" w:hAnsi="Times New Roman;Times;Serif"/>
          <w:b w:val="false"/>
          <w:i w:val="false"/>
          <w:caps w:val="false"/>
          <w:smallCaps w:val="false"/>
          <w:sz w:val="20"/>
        </w:rPr>
        <w:t>150.3 million as of June 30, 2026, and expects to continue incurring losses subsequent to the balance sheet date. Net cash used in operating activities was $</w:t>
      </w:r>
      <w:bookmarkStart w:id="274" w:name="xdx_90E_eus-gaap--CashCashEquivalentsRes"/>
      <w:bookmarkEnd w:id="274"/>
      <w:r>
        <w:rPr>
          <w:rFonts w:ascii="Times New Roman;Times;Serif" w:hAnsi="Times New Roman;Times;Serif"/>
          <w:b w:val="false"/>
          <w:i w:val="false"/>
          <w:caps w:val="false"/>
          <w:smallCaps w:val="false"/>
          <w:sz w:val="20"/>
        </w:rPr>
        <w:t>7.9 million for the six months ended June 30, 2026 and $</w:t>
      </w:r>
      <w:bookmarkStart w:id="275" w:name="xdx_90B_eus-gaap--CashCashEquivalentsRes"/>
      <w:bookmarkEnd w:id="275"/>
      <w:r>
        <w:rPr>
          <w:rFonts w:ascii="Times New Roman;Times;Serif" w:hAnsi="Times New Roman;Times;Serif"/>
          <w:b w:val="false"/>
          <w:i w:val="false"/>
          <w:caps w:val="false"/>
          <w:smallCaps w:val="false"/>
          <w:sz w:val="20"/>
        </w:rPr>
        <w:t>7.0 million for the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approximately $</w:t>
      </w:r>
      <w:bookmarkStart w:id="276" w:name="xdx_909_eus-gaap--Cash_iI_pn5n6_c2026063"/>
      <w:bookmarkEnd w:id="276"/>
      <w:r>
        <w:rPr>
          <w:rFonts w:ascii="Times New Roman;Times;Serif" w:hAnsi="Times New Roman;Times;Serif"/>
          <w:b w:val="false"/>
          <w:i w:val="false"/>
          <w:caps w:val="false"/>
          <w:smallCaps w:val="false"/>
          <w:sz w:val="20"/>
        </w:rPr>
        <w:t>0.6 million in cash and cash equivalents. In addition to cash and cash equivalents, the Company held exchange-traded digital assets with an aggregate carrying value of approximately $</w:t>
      </w:r>
      <w:bookmarkStart w:id="277" w:name="xdx_906_eus-gaap--CryptoAssetFairValue_i"/>
      <w:bookmarkEnd w:id="277"/>
      <w:r>
        <w:rPr>
          <w:rFonts w:ascii="Times New Roman;Times;Serif" w:hAnsi="Times New Roman;Times;Serif"/>
          <w:b w:val="false"/>
          <w:i w:val="false"/>
          <w:caps w:val="false"/>
          <w:smallCaps w:val="false"/>
          <w:sz w:val="20"/>
        </w:rPr>
        <w:t>5.2 million. These exchange-traded digital assets may be monetized over time to support operations, but are subject to significant market price volatility and are not classified as cash equivalents.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 decreased to approximately $</w:t>
      </w:r>
      <w:bookmarkStart w:id="278" w:name="xdx_90C_eus-gaap--LiabilitiesCurrent_iI_"/>
      <w:bookmarkEnd w:id="278"/>
      <w:r>
        <w:rPr>
          <w:rFonts w:ascii="Times New Roman;Times;Serif" w:hAnsi="Times New Roman;Times;Serif"/>
          <w:b w:val="false"/>
          <w:i w:val="false"/>
          <w:caps w:val="false"/>
          <w:smallCaps w:val="false"/>
          <w:sz w:val="20"/>
        </w:rPr>
        <w:t>1.7 million as of June 30, 2026 from approximately $</w:t>
      </w:r>
      <w:bookmarkStart w:id="279" w:name="xdx_900_eus-gaap--LiabilitiesCurrent_iI_"/>
      <w:bookmarkEnd w:id="279"/>
      <w:r>
        <w:rPr>
          <w:rFonts w:ascii="Times New Roman;Times;Serif" w:hAnsi="Times New Roman;Times;Serif"/>
          <w:b w:val="false"/>
          <w:i w:val="false"/>
          <w:caps w:val="false"/>
          <w:smallCaps w:val="false"/>
          <w:sz w:val="20"/>
        </w:rPr>
        <w:t>3.3 million as of December 31, 2025. The balance consists of approximately $</w:t>
      </w:r>
      <w:bookmarkStart w:id="280" w:name="xdx_902_eus-gaap--AccountsPayableCurrent"/>
      <w:bookmarkEnd w:id="280"/>
      <w:r>
        <w:rPr>
          <w:rFonts w:ascii="Times New Roman;Times;Serif" w:hAnsi="Times New Roman;Times;Serif"/>
          <w:b w:val="false"/>
          <w:i w:val="false"/>
          <w:caps w:val="false"/>
          <w:smallCaps w:val="false"/>
          <w:sz w:val="20"/>
        </w:rPr>
        <w:t>1.3 million in accounts payable — approximately $</w:t>
      </w:r>
      <w:bookmarkStart w:id="281" w:name="xdx_900_eus-gaap--AccountsPayableCurrent"/>
      <w:bookmarkEnd w:id="281"/>
      <w:r>
        <w:rPr>
          <w:rFonts w:ascii="Times New Roman;Times;Serif" w:hAnsi="Times New Roman;Times;Serif"/>
          <w:b w:val="false"/>
          <w:i w:val="false"/>
          <w:caps w:val="false"/>
          <w:smallCaps w:val="false"/>
          <w:sz w:val="20"/>
        </w:rPr>
        <w:t>700,000 purportedly claimed by the University of Louisville Research Foundation, $</w:t>
      </w:r>
      <w:bookmarkStart w:id="282" w:name="xdx_90A_eus-gaap--AccountsPayableCurrent"/>
      <w:bookmarkEnd w:id="282"/>
      <w:r>
        <w:rPr>
          <w:rFonts w:ascii="Times New Roman;Times;Serif" w:hAnsi="Times New Roman;Times;Serif"/>
          <w:b w:val="false"/>
          <w:i w:val="false"/>
          <w:caps w:val="false"/>
          <w:smallCaps w:val="false"/>
          <w:sz w:val="20"/>
        </w:rPr>
        <w:t>140,000 to Faraday Futures, and $</w:t>
      </w:r>
      <w:bookmarkStart w:id="283" w:name="xdx_906_eus-gaap--AccountsPayableCurrent"/>
      <w:bookmarkEnd w:id="283"/>
      <w:r>
        <w:rPr>
          <w:rFonts w:ascii="Times New Roman;Times;Serif" w:hAnsi="Times New Roman;Times;Serif"/>
          <w:b w:val="false"/>
          <w:i w:val="false"/>
          <w:caps w:val="false"/>
          <w:smallCaps w:val="false"/>
          <w:sz w:val="20"/>
        </w:rPr>
        <w:t>100,000 to FF Global Partners LLC, with the remainder relating to professional services and other vendors — plus approximately $</w:t>
      </w:r>
      <w:bookmarkStart w:id="284" w:name="xdx_901_ecustom--RelatedPartyPayable_iI_"/>
      <w:bookmarkEnd w:id="284"/>
      <w:r>
        <w:rPr>
          <w:rFonts w:ascii="Times New Roman;Times;Serif" w:hAnsi="Times New Roman;Times;Serif"/>
          <w:b w:val="false"/>
          <w:i w:val="false"/>
          <w:caps w:val="false"/>
          <w:smallCaps w:val="false"/>
          <w:sz w:val="20"/>
        </w:rPr>
        <w:t>0.2 million of related-party payables, approximately $</w:t>
      </w:r>
      <w:bookmarkStart w:id="285" w:name="xdx_90D_eus-gaap--AccountsPayableAndOthe"/>
      <w:bookmarkEnd w:id="285"/>
      <w:r>
        <w:rPr>
          <w:rFonts w:ascii="Times New Roman;Times;Serif" w:hAnsi="Times New Roman;Times;Serif"/>
          <w:b w:val="false"/>
          <w:i w:val="false"/>
          <w:caps w:val="false"/>
          <w:smallCaps w:val="false"/>
          <w:sz w:val="20"/>
        </w:rPr>
        <w:t>129,000 of accrued expenses and other current liabilities, and approximately $</w:t>
      </w:r>
      <w:bookmarkStart w:id="286" w:name="xdx_903_ecustom--WarrantLiabilities_iI_c"/>
      <w:bookmarkEnd w:id="286"/>
      <w:r>
        <w:rPr>
          <w:rFonts w:ascii="Times New Roman;Times;Serif" w:hAnsi="Times New Roman;Times;Serif"/>
          <w:b w:val="false"/>
          <w:i w:val="false"/>
          <w:caps w:val="false"/>
          <w:smallCaps w:val="false"/>
          <w:sz w:val="20"/>
        </w:rPr>
        <w:t>67,000 in warrant liabilities. Total operating expenses declined to approximately $</w:t>
      </w:r>
      <w:bookmarkStart w:id="287" w:name="xdx_900_eus-gaap--OperatingCostsAndExpen"/>
      <w:bookmarkEnd w:id="287"/>
      <w:r>
        <w:rPr>
          <w:rFonts w:ascii="Times New Roman;Times;Serif" w:hAnsi="Times New Roman;Times;Serif"/>
          <w:b w:val="false"/>
          <w:i w:val="false"/>
          <w:caps w:val="false"/>
          <w:smallCaps w:val="false"/>
          <w:sz w:val="20"/>
        </w:rPr>
        <w:t>3.0 million for the three months ended June 30, 2026 from approximately $</w:t>
      </w:r>
      <w:bookmarkStart w:id="288" w:name="xdx_903_eus-gaap--OtherGeneralExpense_pn"/>
      <w:bookmarkEnd w:id="288"/>
      <w:r>
        <w:rPr>
          <w:rFonts w:ascii="Times New Roman;Times;Serif" w:hAnsi="Times New Roman;Times;Serif"/>
          <w:b w:val="false"/>
          <w:i w:val="false"/>
          <w:caps w:val="false"/>
          <w:smallCaps w:val="false"/>
          <w:sz w:val="20"/>
        </w:rPr>
        <w:t>4.3 million in the first quarter of 2026, as management continues to execute cost normalization measures to preserve liquidity. The Company had no outstanding indebtness for borrowed money at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have net losses and negative cash flow from operations, which will challenge our near-term liquidity. Our digital-asset treasury strategy and RoboShare operations are newly established, and there are no guarantees that either will generate revenue or provide sufficient liquidity. Notwithstanding the June 22, 2026 public launch of RoboShare, the Company has not yet generated operating revenue from the platform. Our nearest commercial milestone is the first RoboShare rental delivery, targeted for August 2026; the timing of delivery and associated revenue recognition remain subject to execution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fully repaid the remaining $</w:t>
      </w:r>
      <w:bookmarkStart w:id="289" w:name="xdx_908_eus-gaap--RepaymentsOfConvertibl"/>
      <w:bookmarkEnd w:id="289"/>
      <w:r>
        <w:rPr>
          <w:rFonts w:ascii="Times New Roman;Times;Serif" w:hAnsi="Times New Roman;Times;Serif"/>
          <w:b w:val="false"/>
          <w:i w:val="false"/>
          <w:caps w:val="false"/>
          <w:smallCaps w:val="false"/>
          <w:sz w:val="20"/>
        </w:rPr>
        <w:t>132,000 principal balance of its convertible debt. There were no new financing activities during the three months ended June 30, 2026, and the Company issued no new common shares during the quarter.</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to mitigate liquidity constraints include continued operating expense discipline, targeted monetization of digital asset holdings as needed, the planned commercialization of the Company’s physical AI activities through RoboShare, and prudent utilization of the equity purchase facility only upon satisfaction of all applicable conditions. Accordingly, the Company’s limited current cash balance, the absence of committed alternative financing, volatility in digital asset valuations, and the lack of recurring operating revenue collectively raise substantial doubt regarding our ability to continue as a going concern for the one-year period following the date that condensed consolidated financial statements were issued.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we will continue as a going concern. The financial statements do not include any adjustments that would be necessary should we be unable to continue as a going concern, and therefore be required to liquidate our assets and discharge our liabilities in other than the normal course of business and at amounts that may differ from those reflected in the accompanying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0" w:name="xdx_805_eus-gaap--CryptoAssetTextBlock_z"/>
      <w:bookmarkEnd w:id="290"/>
      <w:r>
        <w:rPr>
          <w:rFonts w:ascii="Times New Roman;Times;Serif" w:hAnsi="Times New Roman;Times;Serif"/>
          <w:b/>
          <w:i w:val="false"/>
          <w:caps w:val="false"/>
          <w:smallCaps w:val="false"/>
          <w:sz w:val="20"/>
        </w:rPr>
        <w:t xml:space="preserve">NOTE 3 — </w:t>
      </w:r>
      <w:bookmarkStart w:id="291" w:name="xdx_82C_zyZKcsunhCSg"/>
      <w:bookmarkEnd w:id="291"/>
      <w:r>
        <w:rPr>
          <w:rFonts w:ascii="Times New Roman;Times;Serif" w:hAnsi="Times New Roman;Times;Serif"/>
          <w:b/>
          <w:i w:val="false"/>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strategic realignment completed in the fourth quarter of 2025, the Company began acquiring digital assets for investment purposes and for use within its programmable technology infrastructure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digital assets consisting of cryptocurrencies, stablecoins, and other blockchain-based tokens, as detailed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Significant Holdings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92" w:name="xdx_89A_eus-gaap--CryptoAssetHoldingTabl"/>
      <w:bookmarkEnd w:id="292"/>
      <w:r>
        <w:rPr>
          <w:rFonts w:ascii="Times New Roman;Times;Serif" w:hAnsi="Times New Roman;Times;Serif"/>
          <w:b w:val="false"/>
          <w:i w:val="false"/>
          <w:caps w:val="false"/>
          <w:smallCaps w:val="false"/>
          <w:sz w:val="20"/>
        </w:rPr>
        <w:t>As of June 30,2026, the Company’s significant digital asset holdings consisted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93" w:name="xdx_8BA_z5CTh7YDREhh"/>
      <w:bookmarkEnd w:id="293"/>
      <w:r>
        <w:rPr>
          <w:rFonts w:ascii="Times New Roman;Times;Serif" w:hAnsi="Times New Roman;Times;Serif"/>
          <w:b w:val="false"/>
          <w:i w:val="false"/>
          <w:caps w:val="false"/>
          <w:smallCaps w:val="false"/>
          <w:sz w:val="20"/>
        </w:rPr>
        <w:t>SCHEDULE OF CRYPTO ASSET HOLDINGS </w:t>
      </w:r>
    </w:p>
    <w:tbl>
      <w:tblPr>
        <w:tblW w:w="6029" w:type="dxa"/>
        <w:jc w:val="left"/>
        <w:tblInd w:w="0" w:type="dxa"/>
        <w:tblLayout w:type="fixed"/>
        <w:tblCellMar>
          <w:top w:w="0" w:type="dxa"/>
          <w:left w:w="0" w:type="dxa"/>
          <w:bottom w:w="0" w:type="dxa"/>
          <w:right w:w="0" w:type="dxa"/>
        </w:tblCellMar>
      </w:tblPr>
      <w:tblGrid>
        <w:gridCol w:w="2195"/>
        <w:gridCol w:w="60"/>
        <w:gridCol w:w="76"/>
        <w:gridCol w:w="1023"/>
        <w:gridCol w:w="60"/>
        <w:gridCol w:w="60"/>
        <w:gridCol w:w="140"/>
        <w:gridCol w:w="1100"/>
        <w:gridCol w:w="60"/>
        <w:gridCol w:w="60"/>
        <w:gridCol w:w="140"/>
        <w:gridCol w:w="98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Cardano ADA (ADA)</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294" w:name="xdx_98B_eus-gaap--CryptoAssetNumberOfUni"/>
            <w:bookmarkEnd w:id="294"/>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5" w:name="xdx_985_eus-gaap--CryptoAssetCost_iI_c20"/>
            <w:bookmarkEnd w:id="29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6" w:name="xdx_985_eus-gaap--CryptoAssetFairValue_i"/>
            <w:bookmarkEnd w:id="29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30,905</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Native BNB (BSC)</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297" w:name="xdx_980_eus-gaap--CryptoAssetNumberOfUni"/>
            <w:bookmarkEnd w:id="297"/>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8" w:name="xdx_982_eus-gaap--CryptoAssetCost_iI_c20"/>
            <w:bookmarkEnd w:id="29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9" w:name="xdx_98E_eus-gaap--CryptoAssetFairValue_i"/>
            <w:bookmarkEnd w:id="29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713,784</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Bitcoin (BTC)</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300" w:name="xdx_98C_eus-gaap--CryptoAssetNumberOfUni"/>
            <w:bookmarkEnd w:id="300"/>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1" w:name="xdx_988_eus-gaap--CryptoAssetCost_iI_c20"/>
            <w:bookmarkEnd w:id="301"/>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4,943,027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2" w:name="xdx_984_eus-gaap--CryptoAssetFairValue_i"/>
            <w:bookmarkEnd w:id="30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2,703,136</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Ethereum (ETH)</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303" w:name="xdx_98B_eus-gaap--CryptoAssetNumberOfUni"/>
            <w:bookmarkEnd w:id="303"/>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4" w:name="xdx_989_eus-gaap--CryptoAssetCost_iI_c20"/>
            <w:bookmarkEnd w:id="304"/>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5" w:name="xdx_988_eus-gaap--CryptoAssetFairValue_i"/>
            <w:bookmarkEnd w:id="30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966,791</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ChainLink (LINK)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306" w:name="xdx_986_eus-gaap--CryptoAssetNumberOfUni"/>
            <w:bookmarkEnd w:id="306"/>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7" w:name="xdx_981_eus-gaap--CryptoAssetCost_iI_c20"/>
            <w:bookmarkEnd w:id="30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8" w:name="xdx_98C_eus-gaap--CryptoAssetFairValue_i"/>
            <w:bookmarkEnd w:id="30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139,457</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Solana (SOL)</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309" w:name="xdx_980_eus-gaap--CryptoAssetNumberOfUni"/>
            <w:bookmarkEnd w:id="309"/>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0" w:name="xdx_983_eus-gaap--CryptoAssetCost_iI_c20"/>
            <w:bookmarkEnd w:id="310"/>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1" w:name="xdx_986_eus-gaap--CryptoAssetFairValue_i"/>
            <w:bookmarkEnd w:id="311"/>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489,427</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Tron (TRX)</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312" w:name="xdx_98B_eus-gaap--CryptoAssetNumberOfUni"/>
            <w:bookmarkEnd w:id="312"/>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13" w:name="xdx_980_eus-gaap--CryptoAssetCost_iI_c20"/>
            <w:bookmarkEnd w:id="313"/>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14" w:name="xdx_980_eus-gaap--CryptoAssetFairValue_i"/>
            <w:bookmarkEnd w:id="31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167,317</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USD Tether (USDT)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315" w:name="xdx_98B_eus-gaap--CryptoAssetNumberOfUni"/>
            <w:bookmarkEnd w:id="315"/>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6" w:name="xdx_98E_eus-gaap--CryptoAssetCost_iI_c20"/>
            <w:bookmarkEnd w:id="316"/>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17" w:name="xdx_987_eus-gaap--CryptoAssetFairValue_i"/>
            <w:bookmarkEnd w:id="31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Ripple (XRP)</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8" w:name="xdx_981_eus-gaap--CryptoAssetNumberOfUni"/>
            <w:bookmarkEnd w:id="318"/>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9" w:name="xdx_98A_eus-gaap--CryptoAssetCost_iI_c20"/>
            <w:bookmarkEnd w:id="31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0" w:name="xdx_989_eus-gaap--CryptoAssetFairValue_i"/>
            <w:bookmarkEnd w:id="32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1" w:name="xdx_98E_eus-gaap--CryptoAssetCost_iI_c20"/>
            <w:bookmarkEnd w:id="32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10,433,028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2" w:name="xdx_987_eus-gaap--CryptoAssetFairValue_i"/>
            <w:bookmarkEnd w:id="32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5,212,903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3" w:name="xdx_8A8_zxJk4hhB8anl"/>
      <w:bookmarkEnd w:id="32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4" w:name="xdx_89A_eus-gaap--CryptoAssetActivityTab"/>
      <w:bookmarkEnd w:id="324"/>
      <w:r>
        <w:rPr>
          <w:rFonts w:ascii="Times New Roman;Times;Serif" w:hAnsi="Times New Roman;Times;Serif"/>
          <w:b w:val="false"/>
          <w:i w:val="false"/>
          <w:caps w:val="false"/>
          <w:smallCaps w:val="false"/>
          <w:sz w:val="20"/>
        </w:rPr>
        <w:t>The following table summarizes digital asset activity for the period indicated, including cost basis, fair value at the time of sale, realized and unrealized losses, and the fair value of outstanding digital assets as of June 30,2026,: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5" w:name="xdx_8B3_zjHHIc0dct05"/>
      <w:bookmarkEnd w:id="325"/>
      <w:r>
        <w:rPr>
          <w:rFonts w:ascii="Times New Roman;Times;Serif" w:hAnsi="Times New Roman;Times;Serif"/>
          <w:b w:val="false"/>
          <w:i w:val="false"/>
          <w:caps w:val="false"/>
          <w:smallCaps w:val="false"/>
          <w:sz w:val="20"/>
        </w:rPr>
        <w:t>SCHEDULE OF DIGITAL ASSET ACTIVITY </w:t>
      </w:r>
    </w:p>
    <w:tbl>
      <w:tblPr>
        <w:tblW w:w="4370" w:type="dxa"/>
        <w:jc w:val="left"/>
        <w:tblInd w:w="0" w:type="dxa"/>
        <w:tblLayout w:type="fixed"/>
        <w:tblCellMar>
          <w:top w:w="0" w:type="dxa"/>
          <w:left w:w="0" w:type="dxa"/>
          <w:bottom w:w="0" w:type="dxa"/>
          <w:right w:w="0" w:type="dxa"/>
        </w:tblCellMar>
      </w:tblPr>
      <w:tblGrid>
        <w:gridCol w:w="2960"/>
        <w:gridCol w:w="60"/>
        <w:gridCol w:w="140"/>
        <w:gridCol w:w="1100"/>
        <w:gridCol w:w="110"/>
      </w:tblGrid>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26" w:name="xdx_49B_20260101__20260630_z4G6d1DNX8x8"/>
            <w:bookmarkEnd w:id="326"/>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7" w:name="xdx_403_eus-gaap--CryptoAssetFairValue_i"/>
            <w:bookmarkEnd w:id="327"/>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10,250,497</w:t>
            </w:r>
          </w:p>
        </w:tc>
        <w:tc>
          <w:tcPr>
            <w:tcW w:w="110" w:type="dxa"/>
            <w:tcBorders/>
            <w:shd w:fill="CCEEFF" w:val="clear"/>
            <w:vAlign w:val="center"/>
          </w:tcPr>
          <w:p>
            <w:pPr>
              <w:pStyle w:val="TableContents"/>
              <w:bidi w:val="0"/>
              <w:spacing w:before="0" w:after="283"/>
              <w:jc w:val="left"/>
              <w:rPr/>
            </w:pPr>
            <w:r>
              <w:rPr/>
              <w:t> </w:t>
            </w:r>
            <w:bookmarkStart w:id="328" w:name="xdx_40D_eus-gaap--CryptoAssetPurchase_zH"/>
            <w:bookmarkEnd w:id="328"/>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bookmarkStart w:id="329" w:name="xdx_F45_z7GkM3hSksI3"/>
            <w:bookmarkEnd w:id="329"/>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338,102</w:t>
            </w:r>
          </w:p>
        </w:tc>
        <w:tc>
          <w:tcPr>
            <w:tcW w:w="110" w:type="dxa"/>
            <w:tcBorders/>
            <w:shd w:fill="FFFFFF" w:val="clear"/>
            <w:vAlign w:val="center"/>
          </w:tcPr>
          <w:p>
            <w:pPr>
              <w:pStyle w:val="TableContents"/>
              <w:bidi w:val="0"/>
              <w:spacing w:before="0" w:after="283"/>
              <w:jc w:val="left"/>
              <w:rPr/>
            </w:pPr>
            <w:r>
              <w:rPr/>
              <w:t> </w:t>
            </w:r>
            <w:bookmarkStart w:id="330" w:name="xdx_405_eus-gaap--CryptoAssetSale_iN_di_"/>
            <w:bookmarkEnd w:id="330"/>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Dispositions</w:t>
            </w:r>
            <w:bookmarkStart w:id="331" w:name="xdx_F43_z6XZxkz6nZp"/>
            <w:bookmarkEnd w:id="331"/>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(2,107,911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2" w:name="xdx_405_eus-gaap--CryptoAssetUnrealizedG"/>
            <w:bookmarkEnd w:id="332"/>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Gains</w:t>
            </w:r>
            <w:bookmarkStart w:id="333" w:name="xdx_F45_zWFag8aTmIBc"/>
            <w:bookmarkEnd w:id="333"/>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364,931</w:t>
            </w:r>
          </w:p>
        </w:tc>
        <w:tc>
          <w:tcPr>
            <w:tcW w:w="110" w:type="dxa"/>
            <w:tcBorders/>
            <w:shd w:fill="FFFFFF" w:val="clear"/>
            <w:vAlign w:val="center"/>
          </w:tcPr>
          <w:p>
            <w:pPr>
              <w:pStyle w:val="TableContents"/>
              <w:bidi w:val="0"/>
              <w:spacing w:before="0" w:after="283"/>
              <w:jc w:val="left"/>
              <w:rPr/>
            </w:pPr>
            <w:r>
              <w:rPr/>
              <w:t> </w:t>
            </w:r>
            <w:bookmarkStart w:id="334" w:name="xdx_404_eus-gaap--CryptoAssetRealizedAnd"/>
            <w:bookmarkEnd w:id="334"/>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Losses</w:t>
            </w:r>
            <w:bookmarkStart w:id="335" w:name="xdx_F43_zr5aCCIKSSed"/>
            <w:bookmarkEnd w:id="335"/>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(3,294,877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6" w:name="xdx_401_eus-gaap--CryptoAssetPaymentForS"/>
            <w:bookmarkEnd w:id="336"/>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made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(337,839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7" w:name="xdx_40A_eus-gaap--CryptoAssetFairValue_i"/>
            <w:bookmarkEnd w:id="337"/>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5,212,903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38" w:name="xdx_F0E_zUEaZ3Gj6YDk"/>
            <w:bookmarkEnd w:id="338"/>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39" w:name="xdx_F18_zAwdblCM3Yqb"/>
            <w:bookmarkEnd w:id="339"/>
            <w:r>
              <w:rPr>
                <w:rFonts w:ascii="Times New Roman;Times;Serif" w:hAnsi="Times New Roman;Times;Serif"/>
                <w:b w:val="false"/>
                <w:i w:val="false"/>
                <w:caps w:val="false"/>
                <w:smallCaps w:val="false"/>
                <w:sz w:val="20"/>
              </w:rPr>
              <w:t>Additions represent purchases of crypto assets held for investment, dispositions represent liquidation of crypto assets held for investment</w:t>
            </w:r>
          </w:p>
        </w:tc>
      </w:tr>
      <w:tr>
        <w:trPr/>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40" w:name="xdx_F06_zRrOxfeHiHT1"/>
            <w:bookmarkEnd w:id="340"/>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341" w:name="xdx_F12_z659qLHkw693"/>
            <w:bookmarkEnd w:id="341"/>
            <w:r>
              <w:rPr>
                <w:rFonts w:ascii="Times New Roman;Times;Serif" w:hAnsi="Times New Roman;Times;Serif"/>
                <w:b w:val="false"/>
                <w:i w:val="false"/>
                <w:caps w:val="false"/>
                <w:smallCaps w:val="false"/>
                <w:sz w:val="20"/>
              </w:rPr>
              <w:t>The Company measures gains and losses by each asset held. These amounts include cumulative unrealized gains of $</w:t>
            </w:r>
            <w:bookmarkStart w:id="342" w:name="xdx_909_eus-gaap--CryptoAssetUnrealizedG"/>
            <w:bookmarkEnd w:id="342"/>
            <w:r>
              <w:rPr>
                <w:rFonts w:ascii="Times New Roman;Times;Serif" w:hAnsi="Times New Roman;Times;Serif"/>
                <w:b w:val="false"/>
                <w:i w:val="false"/>
                <w:caps w:val="false"/>
                <w:smallCaps w:val="false"/>
                <w:sz w:val="20"/>
              </w:rPr>
              <w:t>364,931, realized losses of $</w:t>
            </w:r>
            <w:bookmarkStart w:id="343" w:name="xdx_90F_eus-gaap--CryptoAssetRealizedLos"/>
            <w:bookmarkEnd w:id="343"/>
            <w:r>
              <w:rPr>
                <w:rFonts w:ascii="Times New Roman;Times;Serif" w:hAnsi="Times New Roman;Times;Serif"/>
                <w:b w:val="false"/>
                <w:i w:val="false"/>
                <w:caps w:val="false"/>
                <w:smallCaps w:val="false"/>
                <w:sz w:val="20"/>
              </w:rPr>
              <w:t>398,720, and unrealized losses of $</w:t>
            </w:r>
            <w:bookmarkStart w:id="344" w:name="xdx_90F_eus-gaap--CryptoAssetUnrealizedL"/>
            <w:bookmarkEnd w:id="344"/>
            <w:r>
              <w:rPr>
                <w:rFonts w:ascii="Times New Roman;Times;Serif" w:hAnsi="Times New Roman;Times;Serif"/>
                <w:b w:val="false"/>
                <w:i w:val="false"/>
                <w:caps w:val="false"/>
                <w:smallCaps w:val="false"/>
                <w:sz w:val="20"/>
              </w:rPr>
              <w:t>2,896,157 during the six months ended June 30,2026</w:t>
            </w:r>
          </w:p>
        </w:tc>
      </w:tr>
    </w:tbl>
    <w:p>
      <w:pPr>
        <w:pStyle w:val="TextBody"/>
        <w:bidi w:val="0"/>
        <w:spacing w:before="0" w:after="0"/>
        <w:ind w:left="0" w:right="0" w:hanging="0"/>
        <w:jc w:val="left"/>
        <w:rPr>
          <w:caps w:val="false"/>
          <w:smallCaps w:val="false"/>
        </w:rPr>
      </w:pPr>
      <w:bookmarkStart w:id="345" w:name="xdx_8AB_zc4ud12py2Ql"/>
      <w:bookmarkEnd w:id="345"/>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digital assets held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digital assets at fair value in accordance with </w:t>
      </w:r>
      <w:r>
        <w:rPr>
          <w:rFonts w:ascii="Times New Roman;Times;Serif" w:hAnsi="Times New Roman;Times;Serif"/>
          <w:b/>
          <w:i w:val="false"/>
          <w:caps w:val="false"/>
          <w:smallCaps w:val="false"/>
          <w:sz w:val="20"/>
        </w:rPr>
        <w:t>ASC 820, Fair Value Measurement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determined using quoted prices in active markets for identical assets (Level 1 inputs). The Company utilizes pricing information provided by the principal market, which is based on observable market prices from active trading exchanges.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6" w:name="xdx_807_eus-gaap--FairValueDisclosuresTe"/>
      <w:bookmarkEnd w:id="346"/>
      <w:r>
        <w:rPr>
          <w:rFonts w:ascii="Times New Roman;Times;Serif" w:hAnsi="Times New Roman;Times;Serif"/>
          <w:b/>
          <w:i w:val="false"/>
          <w:caps w:val="false"/>
          <w:smallCaps w:val="false"/>
          <w:sz w:val="20"/>
        </w:rPr>
        <w:t xml:space="preserve">NOTE 4 — </w:t>
      </w:r>
      <w:bookmarkStart w:id="347" w:name="xdx_824_zmuQmxrhiw21"/>
      <w:bookmarkEnd w:id="347"/>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8" w:name="xdx_89C_eus-gaap--ScheduleOfFairValueAss"/>
      <w:bookmarkEnd w:id="348"/>
      <w:r>
        <w:rPr>
          <w:rFonts w:ascii="Times New Roman;Times;Serif" w:hAnsi="Times New Roman;Times;Serif"/>
          <w:b w:val="false"/>
          <w:i w:val="false"/>
          <w:caps w:val="false"/>
          <w:smallCaps w:val="false"/>
          <w:sz w:val="20"/>
        </w:rPr>
        <w:t>Below is the summary of our assets and liabilities measured at fair value on a recurring basis and categorized using the fair value hierarchy as of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9" w:name="xdx_8B4_zOvdd0Wm1Lj"/>
      <w:bookmarkEnd w:id="349"/>
      <w:r>
        <w:rPr>
          <w:rFonts w:ascii="Times New Roman;Times;Serif" w:hAnsi="Times New Roman;Times;Serif"/>
          <w:b w:val="false"/>
          <w:i w:val="false"/>
          <w:caps w:val="false"/>
          <w:smallCaps w:val="false"/>
          <w:sz w:val="20"/>
        </w:rPr>
        <w:t>SCHEDULE OF FAIR VALUE MEASUREMENTS </w:t>
      </w:r>
    </w:p>
    <w:tbl>
      <w:tblPr>
        <w:tblW w:w="6573" w:type="dxa"/>
        <w:jc w:val="left"/>
        <w:tblInd w:w="0" w:type="dxa"/>
        <w:tblLayout w:type="fixed"/>
        <w:tblCellMar>
          <w:top w:w="0" w:type="dxa"/>
          <w:left w:w="0" w:type="dxa"/>
          <w:bottom w:w="0" w:type="dxa"/>
          <w:right w:w="0" w:type="dxa"/>
        </w:tblCellMar>
      </w:tblPr>
      <w:tblGrid>
        <w:gridCol w:w="2030"/>
        <w:gridCol w:w="60"/>
        <w:gridCol w:w="140"/>
        <w:gridCol w:w="980"/>
        <w:gridCol w:w="60"/>
        <w:gridCol w:w="60"/>
        <w:gridCol w:w="168"/>
        <w:gridCol w:w="736"/>
        <w:gridCol w:w="60"/>
        <w:gridCol w:w="60"/>
        <w:gridCol w:w="154"/>
        <w:gridCol w:w="750"/>
        <w:gridCol w:w="60"/>
        <w:gridCol w:w="60"/>
        <w:gridCol w:w="140"/>
        <w:gridCol w:w="980"/>
        <w:gridCol w:w="75"/>
      </w:tblGrid>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0" w:name="xdx_491_20260630__us-gaap--FairValueByFa"/>
            <w:bookmarkEnd w:id="35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1" w:name="xdx_498_20260630__us-gaap--FairValueByFa"/>
            <w:bookmarkEnd w:id="351"/>
          </w:p>
        </w:tc>
        <w:tc>
          <w:tcPr>
            <w:tcW w:w="9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2" w:name="xdx_49D_20260630__us-gaap--FairValueByFa"/>
            <w:bookmarkEnd w:id="352"/>
          </w:p>
        </w:tc>
        <w:tc>
          <w:tcPr>
            <w:tcW w:w="9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3" w:name="xdx_493_20260630_zb63Ea8vDcU"/>
            <w:bookmarkEnd w:id="353"/>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bookmarkStart w:id="354" w:name="xdx_407_eus-gaap--AssetsFairValueDisclos"/>
            <w:bookmarkEnd w:id="354"/>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55" w:name="xdx_408_ecustom--MoneyMarketFundsFairVal"/>
            <w:bookmarkEnd w:id="355"/>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155,892</w:t>
            </w:r>
          </w:p>
        </w:tc>
        <w:tc>
          <w:tcPr>
            <w:tcW w:w="75" w:type="dxa"/>
            <w:tcBorders/>
            <w:shd w:fill="FFFFFF" w:val="clear"/>
            <w:vAlign w:val="center"/>
          </w:tcPr>
          <w:p>
            <w:pPr>
              <w:pStyle w:val="TableContents"/>
              <w:bidi w:val="0"/>
              <w:spacing w:before="0" w:after="283"/>
              <w:jc w:val="left"/>
              <w:rPr/>
            </w:pPr>
            <w:r>
              <w:rPr/>
              <w:t> </w:t>
            </w:r>
            <w:bookmarkStart w:id="356" w:name="xdx_409_eus-gaap--CryptoAssetFairValue_i"/>
            <w:bookmarkEnd w:id="356"/>
          </w:p>
        </w:tc>
      </w:tr>
      <w:tr>
        <w:trPr/>
        <w:tc>
          <w:tcPr>
            <w:tcW w:w="2030" w:type="dxa"/>
            <w:tcBorders/>
            <w:shd w:fill="CCEEFF" w:val="clear"/>
            <w:vAlign w:val="center"/>
          </w:tcPr>
          <w:p>
            <w:pPr>
              <w:pStyle w:val="TableContents"/>
              <w:bidi w:val="0"/>
              <w:spacing w:before="0" w:after="283"/>
              <w:jc w:val="left"/>
              <w:rPr/>
            </w:pPr>
            <w:r>
              <w:rPr/>
              <w:t> </w:t>
            </w: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5,212,903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5,212,903</w:t>
            </w:r>
          </w:p>
        </w:tc>
        <w:tc>
          <w:tcPr>
            <w:tcW w:w="75" w:type="dxa"/>
            <w:tcBorders/>
            <w:shd w:fill="CCEEFF" w:val="clear"/>
            <w:vAlign w:val="center"/>
          </w:tcPr>
          <w:p>
            <w:pPr>
              <w:pStyle w:val="TableContents"/>
              <w:bidi w:val="0"/>
              <w:spacing w:before="0" w:after="283"/>
              <w:jc w:val="left"/>
              <w:rPr/>
            </w:pPr>
            <w:r>
              <w:rPr/>
              <w:t> </w:t>
            </w:r>
            <w:bookmarkStart w:id="357" w:name="xdx_40E_eus-gaap--AssetsFairValueDisclos"/>
            <w:bookmarkEnd w:id="357"/>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5,368,795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5,368,795</w:t>
            </w:r>
          </w:p>
        </w:tc>
        <w:tc>
          <w:tcPr>
            <w:tcW w:w="75" w:type="dxa"/>
            <w:tcBorders/>
            <w:shd w:fill="FFFFFF" w:val="clear"/>
            <w:vAlign w:val="center"/>
          </w:tcPr>
          <w:p>
            <w:pPr>
              <w:pStyle w:val="TableContents"/>
              <w:bidi w:val="0"/>
              <w:spacing w:before="0" w:after="283"/>
              <w:jc w:val="left"/>
              <w:rPr/>
            </w:pPr>
            <w:r>
              <w:rPr/>
              <w:t> </w:t>
            </w:r>
            <w:bookmarkStart w:id="358" w:name="xdx_40E_eus-gaap--LiabilitiesFairValueDi"/>
            <w:bookmarkEnd w:id="358"/>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59" w:name="xdx_400_eus-gaap--ConvertibleDebtFairVal"/>
            <w:bookmarkEnd w:id="359"/>
          </w:p>
        </w:tc>
      </w:tr>
      <w:tr>
        <w:trPr/>
        <w:tc>
          <w:tcPr>
            <w:tcW w:w="2030" w:type="dxa"/>
            <w:tcBorders/>
            <w:shd w:fill="FFFFFF" w:val="clear"/>
            <w:vAlign w:val="center"/>
          </w:tcPr>
          <w:p>
            <w:pPr>
              <w:pStyle w:val="TableContents"/>
              <w:bidi w:val="0"/>
              <w:spacing w:before="0" w:after="283"/>
              <w:jc w:val="left"/>
              <w:rPr/>
            </w:pPr>
            <w:r>
              <w:rPr/>
              <w:t>Convertible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bookmarkStart w:id="360" w:name="xdx_405_ecustom--WarrantLiabilitiesFairV"/>
            <w:bookmarkEnd w:id="360"/>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67,253</w:t>
            </w:r>
          </w:p>
        </w:tc>
        <w:tc>
          <w:tcPr>
            <w:tcW w:w="75" w:type="dxa"/>
            <w:tcBorders/>
            <w:shd w:fill="FFFFFF" w:val="clear"/>
            <w:vAlign w:val="center"/>
          </w:tcPr>
          <w:p>
            <w:pPr>
              <w:pStyle w:val="TableContents"/>
              <w:bidi w:val="0"/>
              <w:spacing w:before="0" w:after="283"/>
              <w:jc w:val="left"/>
              <w:rPr/>
            </w:pPr>
            <w:r>
              <w:rPr/>
              <w:t> </w:t>
            </w:r>
            <w:bookmarkStart w:id="361" w:name="xdx_403_eus-gaap--LiabilitiesFairValueDi"/>
            <w:bookmarkEnd w:id="361"/>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summary of our assets and liabilities measured at fair value on a recurring basis and categorized using the fair value hierarchy as of December 31, 2025:</w:t>
      </w:r>
    </w:p>
    <w:p>
      <w:pPr>
        <w:pStyle w:val="TextBody"/>
        <w:bidi w:val="0"/>
        <w:spacing w:before="0" w:after="0"/>
        <w:ind w:left="0" w:right="0" w:hanging="0"/>
        <w:jc w:val="both"/>
        <w:rPr>
          <w:caps w:val="false"/>
          <w:smallCaps w:val="false"/>
        </w:rPr>
      </w:pPr>
      <w:r>
        <w:rPr>
          <w:caps w:val="false"/>
          <w:smallCaps w:val="false"/>
        </w:rPr>
        <w:t> </w:t>
      </w:r>
    </w:p>
    <w:tbl>
      <w:tblPr>
        <w:tblW w:w="6849" w:type="dxa"/>
        <w:jc w:val="left"/>
        <w:tblInd w:w="0" w:type="dxa"/>
        <w:tblLayout w:type="fixed"/>
        <w:tblCellMar>
          <w:top w:w="0" w:type="dxa"/>
          <w:left w:w="0" w:type="dxa"/>
          <w:bottom w:w="0" w:type="dxa"/>
          <w:right w:w="0" w:type="dxa"/>
        </w:tblCellMar>
      </w:tblPr>
      <w:tblGrid>
        <w:gridCol w:w="2030"/>
        <w:gridCol w:w="60"/>
        <w:gridCol w:w="140"/>
        <w:gridCol w:w="1100"/>
        <w:gridCol w:w="60"/>
        <w:gridCol w:w="60"/>
        <w:gridCol w:w="168"/>
        <w:gridCol w:w="736"/>
        <w:gridCol w:w="60"/>
        <w:gridCol w:w="60"/>
        <w:gridCol w:w="140"/>
        <w:gridCol w:w="800"/>
        <w:gridCol w:w="60"/>
        <w:gridCol w:w="60"/>
        <w:gridCol w:w="140"/>
        <w:gridCol w:w="1100"/>
        <w:gridCol w:w="75"/>
      </w:tblGrid>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2" w:name="xdx_49F_20251231__us-gaap--FairValueByFa"/>
            <w:bookmarkEnd w:id="362"/>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3" w:name="xdx_490_20251231__us-gaap--FairValueByFa"/>
            <w:bookmarkEnd w:id="363"/>
          </w:p>
        </w:tc>
        <w:tc>
          <w:tcPr>
            <w:tcW w:w="9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4" w:name="xdx_497_20251231__us-gaap--FairValueByFa"/>
            <w:bookmarkEnd w:id="364"/>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5" w:name="xdx_49D_20251231_z9DcwgZvxQHg"/>
            <w:bookmarkEnd w:id="365"/>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bookmarkStart w:id="366" w:name="xdx_407_eus-gaap--AssetsFairValueDisclos"/>
            <w:bookmarkEnd w:id="366"/>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7" w:name="xdx_408_ecustom--MoneyMarketFundsFairVal"/>
            <w:bookmarkEnd w:id="367"/>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15,957,179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15,957,179</w:t>
            </w:r>
          </w:p>
        </w:tc>
        <w:tc>
          <w:tcPr>
            <w:tcW w:w="75" w:type="dxa"/>
            <w:tcBorders/>
            <w:shd w:fill="FFFFFF" w:val="clear"/>
            <w:vAlign w:val="center"/>
          </w:tcPr>
          <w:p>
            <w:pPr>
              <w:pStyle w:val="TableContents"/>
              <w:bidi w:val="0"/>
              <w:spacing w:before="0" w:after="283"/>
              <w:jc w:val="left"/>
              <w:rPr/>
            </w:pPr>
            <w:r>
              <w:rPr/>
              <w:t> </w:t>
            </w:r>
            <w:bookmarkStart w:id="368" w:name="xdx_409_eus-gaap--CryptoAssetFairValue_i"/>
            <w:bookmarkEnd w:id="368"/>
          </w:p>
        </w:tc>
      </w:tr>
      <w:tr>
        <w:trPr/>
        <w:tc>
          <w:tcPr>
            <w:tcW w:w="2030" w:type="dxa"/>
            <w:tcBorders/>
            <w:shd w:fill="CCEEFF" w:val="clear"/>
            <w:vAlign w:val="center"/>
          </w:tcPr>
          <w:p>
            <w:pPr>
              <w:pStyle w:val="TableContents"/>
              <w:bidi w:val="0"/>
              <w:spacing w:before="0" w:after="283"/>
              <w:jc w:val="left"/>
              <w:rPr/>
            </w:pPr>
            <w:r>
              <w:rPr/>
              <w:t> </w:t>
            </w: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10,250,497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10,250,497</w:t>
            </w:r>
          </w:p>
        </w:tc>
        <w:tc>
          <w:tcPr>
            <w:tcW w:w="75" w:type="dxa"/>
            <w:tcBorders/>
            <w:shd w:fill="CCEEFF" w:val="clear"/>
            <w:vAlign w:val="center"/>
          </w:tcPr>
          <w:p>
            <w:pPr>
              <w:pStyle w:val="TableContents"/>
              <w:bidi w:val="0"/>
              <w:spacing w:before="0" w:after="283"/>
              <w:jc w:val="left"/>
              <w:rPr/>
            </w:pPr>
            <w:r>
              <w:rPr/>
              <w:t> </w:t>
            </w:r>
            <w:bookmarkStart w:id="369" w:name="xdx_40E_eus-gaap--AssetsFairValueDisclos"/>
            <w:bookmarkEnd w:id="369"/>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26,207,676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26,207,676</w:t>
            </w:r>
          </w:p>
        </w:tc>
        <w:tc>
          <w:tcPr>
            <w:tcW w:w="75" w:type="dxa"/>
            <w:tcBorders/>
            <w:shd w:fill="FFFFFF" w:val="clear"/>
            <w:vAlign w:val="center"/>
          </w:tcPr>
          <w:p>
            <w:pPr>
              <w:pStyle w:val="TableContents"/>
              <w:bidi w:val="0"/>
              <w:spacing w:before="0" w:after="283"/>
              <w:jc w:val="left"/>
              <w:rPr/>
            </w:pPr>
            <w:r>
              <w:rPr/>
              <w:t> </w:t>
            </w:r>
            <w:bookmarkStart w:id="370" w:name="xdx_40E_eus-gaap--LiabilitiesFairValueDi"/>
            <w:bookmarkEnd w:id="370"/>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71" w:name="xdx_401_eus-gaap--ConvertibleDebtFairVal"/>
            <w:bookmarkEnd w:id="371"/>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142,236</w:t>
            </w:r>
          </w:p>
        </w:tc>
        <w:tc>
          <w:tcPr>
            <w:tcW w:w="75" w:type="dxa"/>
            <w:tcBorders/>
            <w:shd w:fill="FFFFFF" w:val="clear"/>
            <w:vAlign w:val="center"/>
          </w:tcPr>
          <w:p>
            <w:pPr>
              <w:pStyle w:val="TableContents"/>
              <w:bidi w:val="0"/>
              <w:spacing w:before="0" w:after="283"/>
              <w:jc w:val="left"/>
              <w:rPr/>
            </w:pPr>
            <w:r>
              <w:rPr/>
              <w:t> </w:t>
            </w:r>
            <w:bookmarkStart w:id="372" w:name="xdx_405_ecustom--WarrantLiabilitiesFairV"/>
            <w:bookmarkEnd w:id="372"/>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75" w:type="dxa"/>
            <w:tcBorders/>
            <w:shd w:fill="CCEEFF" w:val="clear"/>
            <w:vAlign w:val="center"/>
          </w:tcPr>
          <w:p>
            <w:pPr>
              <w:pStyle w:val="TableContents"/>
              <w:bidi w:val="0"/>
              <w:spacing w:before="0" w:after="283"/>
              <w:jc w:val="left"/>
              <w:rPr/>
            </w:pPr>
            <w:r>
              <w:rPr/>
              <w:t> </w:t>
            </w:r>
            <w:bookmarkStart w:id="373" w:name="xdx_403_eus-gaap--LiabilitiesFairValueDi"/>
            <w:bookmarkEnd w:id="373"/>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284,114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4" w:name="xdx_8A5_zlSUCqgdjLI1"/>
      <w:bookmarkEnd w:id="37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5" w:name="xdx_800_eus-gaap--OtherAssetsDisclosureT"/>
      <w:bookmarkEnd w:id="375"/>
      <w:r>
        <w:rPr>
          <w:rFonts w:ascii="Times New Roman;Times;Serif" w:hAnsi="Times New Roman;Times;Serif"/>
          <w:b/>
          <w:i w:val="false"/>
          <w:caps w:val="false"/>
          <w:smallCaps w:val="false"/>
          <w:sz w:val="20"/>
        </w:rPr>
        <w:t xml:space="preserve">NOTE 5 — </w:t>
      </w:r>
      <w:bookmarkStart w:id="376" w:name="xdx_82A_z87MB8ysk1R3"/>
      <w:bookmarkEnd w:id="376"/>
      <w:r>
        <w:rPr>
          <w:rFonts w:ascii="Times New Roman;Times;Serif" w:hAnsi="Times New Roman;Times;Serif"/>
          <w:b/>
          <w:i w:val="false"/>
          <w:caps w:val="false"/>
          <w:smallCaps w:val="false"/>
          <w:sz w:val="20"/>
        </w:rPr>
        <w:t>PREPAID INVESTMENT,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7" w:name="xdx_89C_eus-gaap--DeferredCostsCapitaliz"/>
      <w:bookmarkEnd w:id="377"/>
      <w:r>
        <w:rPr>
          <w:rFonts w:ascii="Times New Roman;Times;Serif" w:hAnsi="Times New Roman;Times;Serif"/>
          <w:b w:val="false"/>
          <w:i w:val="false"/>
          <w:caps w:val="false"/>
          <w:smallCaps w:val="false"/>
          <w:sz w:val="20"/>
        </w:rPr>
        <w:t>Prepaid expenses and other current assets consisted of the following at June 30, 2026 and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8" w:name="xdx_8B9_zsgvdR1WctG8"/>
      <w:bookmarkEnd w:id="378"/>
      <w:r>
        <w:rPr>
          <w:rFonts w:ascii="Times New Roman;Times;Serif" w:hAnsi="Times New Roman;Times;Serif"/>
          <w:b w:val="false"/>
          <w:i w:val="false"/>
          <w:caps w:val="false"/>
          <w:smallCaps w:val="false"/>
          <w:sz w:val="20"/>
        </w:rPr>
        <w:t>SCHEDULE OF PREPAID EXPENSES AND OTHER CURRENT ASSETS </w:t>
      </w:r>
    </w:p>
    <w:tbl>
      <w:tblPr>
        <w:tblW w:w="5974" w:type="dxa"/>
        <w:jc w:val="left"/>
        <w:tblInd w:w="0" w:type="dxa"/>
        <w:tblLayout w:type="fixed"/>
        <w:tblCellMar>
          <w:top w:w="0" w:type="dxa"/>
          <w:left w:w="0" w:type="dxa"/>
          <w:bottom w:w="0" w:type="dxa"/>
          <w:right w:w="0" w:type="dxa"/>
        </w:tblCellMar>
      </w:tblPr>
      <w:tblGrid>
        <w:gridCol w:w="3365"/>
        <w:gridCol w:w="60"/>
        <w:gridCol w:w="140"/>
        <w:gridCol w:w="800"/>
        <w:gridCol w:w="60"/>
        <w:gridCol w:w="60"/>
        <w:gridCol w:w="176"/>
        <w:gridCol w:w="1238"/>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9" w:name="xdx_49A_20260630_zqwYGFhS0rDi"/>
            <w:bookmarkEnd w:id="379"/>
          </w:p>
        </w:tc>
        <w:tc>
          <w:tcPr>
            <w:tcW w:w="9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0" w:name="xdx_497_20251231_zC18QOfpOv49"/>
            <w:bookmarkEnd w:id="380"/>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381" w:name="xdx_40F_ecustom--PrepaidConsulting_iI_pp"/>
            <w:bookmarkEnd w:id="381"/>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461,337</w:t>
            </w:r>
          </w:p>
        </w:tc>
        <w:tc>
          <w:tcPr>
            <w:tcW w:w="75" w:type="dxa"/>
            <w:tcBorders/>
            <w:shd w:fill="CCEEFF" w:val="clear"/>
            <w:vAlign w:val="center"/>
          </w:tcPr>
          <w:p>
            <w:pPr>
              <w:pStyle w:val="TableContents"/>
              <w:bidi w:val="0"/>
              <w:spacing w:before="0" w:after="283"/>
              <w:jc w:val="left"/>
              <w:rPr/>
            </w:pPr>
            <w:r>
              <w:rPr/>
              <w:t> </w:t>
            </w:r>
            <w:bookmarkStart w:id="382" w:name="xdx_403_eus-gaap--PrepaidInsurance_iI_pp"/>
            <w:bookmarkEnd w:id="382"/>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481,338</w:t>
            </w:r>
          </w:p>
        </w:tc>
        <w:tc>
          <w:tcPr>
            <w:tcW w:w="75" w:type="dxa"/>
            <w:tcBorders/>
            <w:shd w:fill="FFFFFF" w:val="clear"/>
            <w:vAlign w:val="center"/>
          </w:tcPr>
          <w:p>
            <w:pPr>
              <w:pStyle w:val="TableContents"/>
              <w:bidi w:val="0"/>
              <w:spacing w:before="0" w:after="283"/>
              <w:jc w:val="left"/>
              <w:rPr/>
            </w:pPr>
            <w:r>
              <w:rPr/>
              <w:t> </w:t>
            </w:r>
            <w:bookmarkStart w:id="383" w:name="xdx_409_ecustom--PrepaidLegal_iI_pp0p0_m"/>
            <w:bookmarkEnd w:id="383"/>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legal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84,193</w:t>
            </w:r>
          </w:p>
        </w:tc>
        <w:tc>
          <w:tcPr>
            <w:tcW w:w="75" w:type="dxa"/>
            <w:tcBorders/>
            <w:shd w:fill="CCEEFF" w:val="clear"/>
            <w:vAlign w:val="center"/>
          </w:tcPr>
          <w:p>
            <w:pPr>
              <w:pStyle w:val="TableContents"/>
              <w:bidi w:val="0"/>
              <w:spacing w:before="0" w:after="283"/>
              <w:jc w:val="left"/>
              <w:rPr/>
            </w:pPr>
            <w:r>
              <w:rPr/>
              <w:t> </w:t>
            </w:r>
            <w:bookmarkStart w:id="384" w:name="xdx_406_eus-gaap--OtherAssetsCurrent_iI_"/>
            <w:bookmarkEnd w:id="384"/>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1,638</w:t>
            </w:r>
          </w:p>
        </w:tc>
        <w:tc>
          <w:tcPr>
            <w:tcW w:w="75" w:type="dxa"/>
            <w:tcBorders/>
            <w:shd w:fill="FFFFFF" w:val="clear"/>
            <w:vAlign w:val="center"/>
          </w:tcPr>
          <w:p>
            <w:pPr>
              <w:pStyle w:val="TableContents"/>
              <w:bidi w:val="0"/>
              <w:spacing w:before="0" w:after="283"/>
              <w:jc w:val="left"/>
              <w:rPr/>
            </w:pPr>
            <w:r>
              <w:rPr/>
              <w:t> </w:t>
            </w:r>
            <w:bookmarkStart w:id="385" w:name="xdx_40A_eus-gaap--PrepaidExpenseAndOther"/>
            <w:bookmarkEnd w:id="385"/>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1,028,506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6" w:name="xdx_8A8_zBEdO1JUvqIa"/>
      <w:bookmarkEnd w:id="38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7" w:name="xdx_801_eus-gaap--LoansNotesTradeAndOthe"/>
      <w:bookmarkEnd w:id="387"/>
      <w:r>
        <w:rPr>
          <w:rFonts w:ascii="Times New Roman;Times;Serif" w:hAnsi="Times New Roman;Times;Serif"/>
          <w:b/>
          <w:i w:val="false"/>
          <w:caps w:val="false"/>
          <w:smallCaps w:val="false"/>
          <w:sz w:val="20"/>
        </w:rPr>
        <w:t>NOTE 6 —</w:t>
      </w:r>
      <w:bookmarkStart w:id="388" w:name="xdx_829_zdgzpQMdM2vf"/>
      <w:bookmarkEnd w:id="388"/>
      <w:r>
        <w:rPr>
          <w:rFonts w:ascii="Times New Roman;Times;Serif" w:hAnsi="Times New Roman;Times;Serif"/>
          <w:b/>
          <w:i w:val="false"/>
          <w:caps w:val="false"/>
          <w:smallCaps w:val="false"/>
          <w:sz w:val="20"/>
        </w:rPr>
        <w:t>SHORT-TERM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9" w:name="xdx_89E_eus-gaap--ScheduleOfAccountsNote"/>
      <w:bookmarkEnd w:id="389"/>
      <w:r>
        <w:rPr>
          <w:rFonts w:ascii="Times New Roman;Times;Serif" w:hAnsi="Times New Roman;Times;Serif"/>
          <w:b w:val="false"/>
          <w:i w:val="false"/>
          <w:caps w:val="false"/>
          <w:smallCaps w:val="false"/>
          <w:sz w:val="20"/>
        </w:rPr>
        <w:t>Short term notes receivable - consisted of the following at June 30, 2026 and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0" w:name="xdx_8B5_zL3q7EO5FRba"/>
      <w:bookmarkEnd w:id="390"/>
      <w:r>
        <w:rPr>
          <w:rFonts w:ascii="Times New Roman;Times;Serif" w:hAnsi="Times New Roman;Times;Serif"/>
          <w:b w:val="false"/>
          <w:i w:val="false"/>
          <w:caps w:val="false"/>
          <w:smallCaps w:val="false"/>
          <w:sz w:val="20"/>
        </w:rPr>
        <w:t>SCHEDULE OF SHORT-TERM NOTE RECEIVABLE </w:t>
      </w:r>
    </w:p>
    <w:tbl>
      <w:tblPr>
        <w:tblW w:w="6258" w:type="dxa"/>
        <w:jc w:val="left"/>
        <w:tblInd w:w="0" w:type="dxa"/>
        <w:tblLayout w:type="fixed"/>
        <w:tblCellMar>
          <w:top w:w="0" w:type="dxa"/>
          <w:left w:w="0" w:type="dxa"/>
          <w:bottom w:w="0" w:type="dxa"/>
          <w:right w:w="0" w:type="dxa"/>
        </w:tblCellMar>
      </w:tblPr>
      <w:tblGrid>
        <w:gridCol w:w="3680"/>
        <w:gridCol w:w="60"/>
        <w:gridCol w:w="519"/>
        <w:gridCol w:w="355"/>
        <w:gridCol w:w="60"/>
        <w:gridCol w:w="60"/>
        <w:gridCol w:w="165"/>
        <w:gridCol w:w="1249"/>
        <w:gridCol w:w="110"/>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1" w:name="xdx_49D_20260630_z1SCjnJN10cj"/>
            <w:bookmarkEnd w:id="391"/>
          </w:p>
        </w:tc>
        <w:tc>
          <w:tcPr>
            <w:tcW w:w="8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2" w:name="xdx_494_20251231_zO307qiYwdMa"/>
            <w:bookmarkEnd w:id="392"/>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393" w:name="xdx_40F_eus-gaap--NotesAndLoansReceivabl"/>
            <w:bookmarkEnd w:id="393"/>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note receivable - Marizyme</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4,898,060</w:t>
            </w:r>
          </w:p>
        </w:tc>
        <w:tc>
          <w:tcPr>
            <w:tcW w:w="110" w:type="dxa"/>
            <w:tcBorders/>
            <w:shd w:fill="CCEEFF" w:val="clear"/>
            <w:vAlign w:val="center"/>
          </w:tcPr>
          <w:p>
            <w:pPr>
              <w:pStyle w:val="TableContents"/>
              <w:bidi w:val="0"/>
              <w:spacing w:before="0" w:after="283"/>
              <w:jc w:val="left"/>
              <w:rPr/>
            </w:pPr>
            <w:r>
              <w:rPr/>
              <w:t> </w:t>
            </w:r>
            <w:bookmarkStart w:id="394" w:name="xdx_401_eus-gaap--AllowanceForNotesAndLo"/>
            <w:bookmarkEnd w:id="394"/>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(4,555,000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5" w:name="xdx_407_eus-gaap--NotesAndLoansReceivabl"/>
            <w:bookmarkEnd w:id="395"/>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notes receivable</w:t>
            </w:r>
          </w:p>
        </w:tc>
        <w:tc>
          <w:tcPr>
            <w:tcW w:w="60" w:type="dxa"/>
            <w:tcBorders/>
            <w:shd w:fill="CCEEFF" w:val="clear"/>
            <w:vAlign w:val="center"/>
          </w:tcPr>
          <w:p>
            <w:pPr>
              <w:pStyle w:val="TableContents"/>
              <w:bidi w:val="0"/>
              <w:spacing w:before="0" w:after="283"/>
              <w:jc w:val="left"/>
              <w:rPr/>
            </w:pPr>
            <w:r>
              <w:rPr/>
              <w:t> </w:t>
            </w:r>
          </w:p>
        </w:tc>
        <w:tc>
          <w:tcPr>
            <w:tcW w:w="5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343,060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6" w:name="xdx_8AB_zetCnG3Trtm"/>
      <w:bookmarkEnd w:id="39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advanced an aggregate of $</w:t>
      </w:r>
      <w:bookmarkStart w:id="397" w:name="xdx_909_eus-gaap--DebtInstrumentFaceAmou"/>
      <w:bookmarkEnd w:id="397"/>
      <w:r>
        <w:rPr>
          <w:rFonts w:ascii="Times New Roman;Times;Serif" w:hAnsi="Times New Roman;Times;Serif"/>
          <w:b w:val="false"/>
          <w:i w:val="false"/>
          <w:caps w:val="false"/>
          <w:smallCaps w:val="false"/>
          <w:sz w:val="20"/>
        </w:rPr>
        <w:t>4,166,900 to Marizyme, Inc., against which Marizyme delivered demand promissory notes to the Company of like principal amounts (the “Marizyme Notes”). The Marizyme Notes bear at interest the rate of eighteen percent (</w:t>
      </w:r>
      <w:bookmarkStart w:id="398" w:name="xdx_901_eus-gaap--DebtInstrumentInterest"/>
      <w:bookmarkEnd w:id="398"/>
      <w:r>
        <w:rPr>
          <w:rFonts w:ascii="Times New Roman;Times;Serif" w:hAnsi="Times New Roman;Times;Serif"/>
          <w:b w:val="false"/>
          <w:i w:val="false"/>
          <w:caps w:val="false"/>
          <w:smallCaps w:val="false"/>
          <w:sz w:val="20"/>
        </w:rPr>
        <w:t>18%) per annum. Marizyme may pre-pay all or any part of the outstanding principal or interest at any time and from time to time, in whole or in part, without premium or penalty. The total amortized cost consisting of principal and accrued interest was $</w:t>
      </w:r>
      <w:bookmarkStart w:id="399" w:name="xdx_90F_eus-gaap--InterestPayableCurrent"/>
      <w:bookmarkEnd w:id="399"/>
      <w:r>
        <w:rPr>
          <w:rFonts w:ascii="Times New Roman;Times;Serif" w:hAnsi="Times New Roman;Times;Serif"/>
          <w:b w:val="false"/>
          <w:i w:val="false"/>
          <w:caps w:val="false"/>
          <w:smallCaps w:val="false"/>
          <w:sz w:val="20"/>
        </w:rPr>
        <w:t>4,898,060 as of December 31, 2025. For the six months ended June 30, 2026, interest income of $</w:t>
      </w:r>
      <w:bookmarkStart w:id="400" w:name="xdx_908_ecustom--AccruedInterestOnShortt"/>
      <w:bookmarkEnd w:id="400"/>
      <w:r>
        <w:rPr>
          <w:rFonts w:ascii="Times New Roman;Times;Serif" w:hAnsi="Times New Roman;Times;Serif"/>
          <w:b w:val="false"/>
          <w:i w:val="false"/>
          <w:caps w:val="false"/>
          <w:smallCaps w:val="false"/>
          <w:sz w:val="20"/>
        </w:rPr>
        <w:t>275,358 was recognized within other income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326-20, known as the current expected credit loss (“CECL”) model, the Company was required to estimate credit losses expected over the life of an exposure (or pool of exposures) based on historical information, current information, and reasonable and supportable forecasts. The Company is unable to use its historical data to estimate losses as it has no relevant loss history to date. To determine the estimate of expected credit losses, the Company used a probability-weighted approach that incorporates multiple settlement scenarios, including recovery of amounts due upon an acquisition of the debtor, and recovery in different liquidation scenarios, and determines the expected recoverable amount of the loan in each scenario. This model requires management to make certain assumptions including the likelihood of each outcome, the estimated value of the debtor’s assets, and the Company’s expected claim and recovery rate on the debtor’s assets in the event of an insolvency or a liquidation proceeding. During the six months ended June 30, 2026, the Company recorded an additional allowance for credit losses of $</w:t>
      </w:r>
      <w:bookmarkStart w:id="401" w:name="xdx_90E_eus-gaap--ProvisionForOtherCredi"/>
      <w:bookmarkEnd w:id="401"/>
      <w:r>
        <w:rPr>
          <w:rFonts w:ascii="Times New Roman;Times;Serif" w:hAnsi="Times New Roman;Times;Serif"/>
          <w:b w:val="false"/>
          <w:i w:val="false"/>
          <w:caps w:val="false"/>
          <w:smallCaps w:val="false"/>
          <w:sz w:val="20"/>
        </w:rPr>
        <w:t>142,574 and the total carrying value of the notes amounted to $</w:t>
      </w:r>
      <w:bookmarkStart w:id="402" w:name="xdx_90B_eus-gaap--DebtInstrumentCarrying"/>
      <w:bookmarkEnd w:id="402"/>
      <w:r>
        <w:rPr>
          <w:rFonts w:ascii="Times New Roman;Times;Serif" w:hAnsi="Times New Roman;Times;Serif"/>
          <w:b w:val="false"/>
          <w:i w:val="false"/>
          <w:caps w:val="false"/>
          <w:smallCaps w:val="false"/>
          <w:sz w:val="20"/>
        </w:rPr>
        <w:t>475,844 prior to full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entered into a Note Purchase Agreement with CABG Acquisition Corp., pursuant to which the Company sold all of its right, title, and interest in certain loans and related creditor rights relating to Marizyme, Inc. In consideration, the Company received $</w:t>
      </w:r>
      <w:bookmarkStart w:id="403" w:name="xdx_90F_eus-gaap--RoyaltyExpense_c202605"/>
      <w:bookmarkEnd w:id="403"/>
      <w:r>
        <w:rPr>
          <w:rFonts w:ascii="Times New Roman;Times;Serif" w:hAnsi="Times New Roman;Times;Serif"/>
          <w:b w:val="false"/>
          <w:i w:val="false"/>
          <w:caps w:val="false"/>
          <w:smallCaps w:val="false"/>
          <w:sz w:val="20"/>
        </w:rPr>
        <w:t>100,000 in cash, contingent royalty rights, and a 4.99% membership interest in CABG SPV. CABG SPV is a dedicated New York limited liability company established solely by CABG to acquire and commercialize Marizyme’s operating assets and commercialize DuraGraft, from which AIxC receives a 4.99% minority membership interest and tiered royalty rights tied to product sales. The Company received a one-time cash settlement of $</w:t>
      </w:r>
      <w:bookmarkStart w:id="404" w:name="xdx_90A_eus-gaap--ProceedsFromLegalSettl"/>
      <w:bookmarkEnd w:id="404"/>
      <w:r>
        <w:rPr>
          <w:rFonts w:ascii="Times New Roman;Times;Serif" w:hAnsi="Times New Roman;Times;Serif"/>
          <w:b w:val="false"/>
          <w:i w:val="false"/>
          <w:caps w:val="false"/>
          <w:smallCaps w:val="false"/>
          <w:sz w:val="20"/>
        </w:rPr>
        <w:t>100,000 from Marizyme in full satisfaction of all outstanding principal and accrued interest under the Marizyme Notes and recognized a loss on settlement of short-term note receivable of $</w:t>
      </w:r>
      <w:bookmarkStart w:id="405" w:name="xdx_90C_ecustom--LossOnSettlementOfShort"/>
      <w:bookmarkEnd w:id="405"/>
      <w:r>
        <w:rPr>
          <w:rFonts w:ascii="Times New Roman;Times;Serif" w:hAnsi="Times New Roman;Times;Serif"/>
          <w:b w:val="false"/>
          <w:i w:val="false"/>
          <w:caps w:val="false"/>
          <w:smallCaps w:val="false"/>
          <w:sz w:val="20"/>
        </w:rPr>
        <w:t>375,844, which was classified within loss on settlement of short-term note receivable on the unaudited condensed consolidated statements of operations for the six months ended June 30, 2026. The Company did not record any asset on its condensed consolidated balance sheet related to the royalty right or CABG SPV membership interest because royalties only activate after cumulative DuraGraft net revenue surpasses $</w:t>
      </w:r>
      <w:bookmarkStart w:id="406" w:name="xdx_902_eus-gaap--Revenues_c20260101__20"/>
      <w:bookmarkEnd w:id="406"/>
      <w:r>
        <w:rPr>
          <w:rFonts w:ascii="Times New Roman;Times;Serif" w:hAnsi="Times New Roman;Times;Serif"/>
          <w:b w:val="false"/>
          <w:i w:val="false"/>
          <w:caps w:val="false"/>
          <w:smallCaps w:val="false"/>
          <w:sz w:val="20"/>
        </w:rPr>
        <w:t>20 million, the CABG SPV membership interest’s value depends on unproven commercialization, capital structure and dilution risks, and the Company no longer funds Marizyme’s biotech pipeline, making material future inflows highly unlikely under market-participant assumptions. No recurring impairment testing or third-party valuation assessments are required for these contingent upside interests, as their recoverable value is deemed zero at period end. Any royalty proceeds received in future periods will be recognized as other income upon actual cash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party to a Co-Development Agreement with Marizyme, the divestiture of debt claims does not alter the Company’s contractual rights under the Co-Development Agreement, including its right to future royalty-style payments once the contractual sales and launch milestones are met. (see Note 13 - Research and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7" w:name="xdx_801_eus-gaap--AccountsPayableAccrued"/>
      <w:bookmarkEnd w:id="407"/>
      <w:r>
        <w:rPr>
          <w:rFonts w:ascii="Times New Roman;Times;Serif" w:hAnsi="Times New Roman;Times;Serif"/>
          <w:b/>
          <w:i w:val="false"/>
          <w:caps w:val="false"/>
          <w:smallCaps w:val="false"/>
          <w:sz w:val="20"/>
        </w:rPr>
        <w:t xml:space="preserve">NOTE 7 — </w:t>
      </w:r>
      <w:bookmarkStart w:id="408" w:name="xdx_826_zhQbNFdgpo05"/>
      <w:bookmarkEnd w:id="408"/>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9" w:name="xdx_897_eus-gaap--ScheduleOfAccountsPaya"/>
      <w:bookmarkEnd w:id="409"/>
      <w:r>
        <w:rPr>
          <w:rFonts w:ascii="Times New Roman;Times;Serif" w:hAnsi="Times New Roman;Times;Serif"/>
          <w:b w:val="false"/>
          <w:i w:val="false"/>
          <w:caps w:val="false"/>
          <w:smallCaps w:val="false"/>
          <w:sz w:val="20"/>
        </w:rPr>
        <w:t>Accrued expenses and other current liabilities consisted of the following at June 30, 2026 and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0" w:name="xdx_8B2_zHBtTl2UIT7"/>
      <w:bookmarkEnd w:id="410"/>
      <w:r>
        <w:rPr>
          <w:rFonts w:ascii="Times New Roman;Times;Serif" w:hAnsi="Times New Roman;Times;Serif"/>
          <w:b w:val="false"/>
          <w:i w:val="false"/>
          <w:caps w:val="false"/>
          <w:smallCaps w:val="false"/>
          <w:sz w:val="20"/>
        </w:rPr>
        <w:t>SCHEDULE OF ACCRUED EXPENSES AND OTHER CURRENT LIABILITIES </w:t>
      </w:r>
    </w:p>
    <w:tbl>
      <w:tblPr>
        <w:tblW w:w="6349" w:type="dxa"/>
        <w:jc w:val="left"/>
        <w:tblInd w:w="0" w:type="dxa"/>
        <w:tblLayout w:type="fixed"/>
        <w:tblCellMar>
          <w:top w:w="0" w:type="dxa"/>
          <w:left w:w="0" w:type="dxa"/>
          <w:bottom w:w="0" w:type="dxa"/>
          <w:right w:w="0" w:type="dxa"/>
        </w:tblCellMar>
      </w:tblPr>
      <w:tblGrid>
        <w:gridCol w:w="3740"/>
        <w:gridCol w:w="60"/>
        <w:gridCol w:w="140"/>
        <w:gridCol w:w="800"/>
        <w:gridCol w:w="60"/>
        <w:gridCol w:w="60"/>
        <w:gridCol w:w="210"/>
        <w:gridCol w:w="1204"/>
        <w:gridCol w:w="7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1" w:name="xdx_49B_20260630_zdI0hkU63NB2"/>
            <w:bookmarkEnd w:id="411"/>
          </w:p>
        </w:tc>
        <w:tc>
          <w:tcPr>
            <w:tcW w:w="9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2" w:name="xdx_49C_20251231_zmGxfyl28UUc"/>
            <w:bookmarkEnd w:id="412"/>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413" w:name="xdx_409_ecustom--AccruedLicenseFees_iI_p"/>
            <w:bookmarkEnd w:id="413"/>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75" w:type="dxa"/>
            <w:tcBorders/>
            <w:shd w:fill="CCEEFF" w:val="clear"/>
            <w:vAlign w:val="center"/>
          </w:tcPr>
          <w:p>
            <w:pPr>
              <w:pStyle w:val="TableContents"/>
              <w:bidi w:val="0"/>
              <w:spacing w:before="0" w:after="283"/>
              <w:jc w:val="left"/>
              <w:rPr/>
            </w:pPr>
            <w:r>
              <w:rPr/>
              <w:t> </w:t>
            </w:r>
            <w:bookmarkStart w:id="414" w:name="xdx_403_ecustom--AccruedCreditCard_iI_pp"/>
            <w:bookmarkEnd w:id="414"/>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card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FFFFFF" w:val="clear"/>
            <w:vAlign w:val="center"/>
          </w:tcPr>
          <w:p>
            <w:pPr>
              <w:pStyle w:val="TableContents"/>
              <w:bidi w:val="0"/>
              <w:spacing w:before="0" w:after="283"/>
              <w:jc w:val="left"/>
              <w:rPr/>
            </w:pPr>
            <w:r>
              <w:rPr/>
              <w:t> </w:t>
            </w:r>
            <w:bookmarkStart w:id="415" w:name="xdx_403_eus-gaap--AccruedProfessionalFee"/>
            <w:bookmarkEnd w:id="415"/>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115,434</w:t>
            </w:r>
          </w:p>
        </w:tc>
        <w:tc>
          <w:tcPr>
            <w:tcW w:w="75" w:type="dxa"/>
            <w:tcBorders/>
            <w:shd w:fill="CCEEFF" w:val="clear"/>
            <w:vAlign w:val="center"/>
          </w:tcPr>
          <w:p>
            <w:pPr>
              <w:pStyle w:val="TableContents"/>
              <w:bidi w:val="0"/>
              <w:spacing w:before="0" w:after="283"/>
              <w:jc w:val="left"/>
              <w:rPr/>
            </w:pPr>
            <w:r>
              <w:rPr/>
              <w:t> </w:t>
            </w:r>
            <w:bookmarkStart w:id="416" w:name="xdx_40C_eus-gaap--EmployeeRelatedLiabili"/>
            <w:bookmarkEnd w:id="416"/>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benefits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417" w:name="xdx_402_eus-gaap--AccruedLiabilitiesCurr"/>
            <w:bookmarkEnd w:id="417"/>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8" w:name="xdx_8AF_zBnqrMgjLaI"/>
      <w:bookmarkEnd w:id="41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9" w:name="xdx_807_ecustom--WarrantLiabilitiesTextB"/>
      <w:bookmarkEnd w:id="419"/>
      <w:r>
        <w:rPr>
          <w:rFonts w:ascii="Times New Roman;Times;Serif" w:hAnsi="Times New Roman;Times;Serif"/>
          <w:b/>
          <w:i w:val="false"/>
          <w:caps w:val="false"/>
          <w:smallCaps w:val="false"/>
          <w:sz w:val="20"/>
        </w:rPr>
        <w:t xml:space="preserve">NOTE 8 – </w:t>
      </w:r>
      <w:bookmarkStart w:id="420" w:name="xdx_827_zHPYHIoy2Qpb"/>
      <w:bookmarkEnd w:id="420"/>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20, 2024, the Company closed its private placement transaction resulting in the issuance of newly designated Series A-2 Preferred Stock (see Note 14 – Stockholders Equity). As a result of the issuance of a new class of voting securities, the Company evaluated its equity classified warrants’ respective terms, and concluded that warrants for </w:t>
      </w:r>
      <w:bookmarkStart w:id="421" w:name="xdx_90B_eus-gaap--ClassOfWarrantOrRightN"/>
      <w:bookmarkEnd w:id="421"/>
      <w:r>
        <w:rPr>
          <w:rFonts w:ascii="Times New Roman;Times;Serif" w:hAnsi="Times New Roman;Times;Serif"/>
          <w:b w:val="false"/>
          <w:i w:val="false"/>
          <w:caps w:val="false"/>
          <w:smallCaps w:val="false"/>
          <w:sz w:val="20"/>
        </w:rPr>
        <w:t>68,712 common shares with a weighted average exercise price of $</w:t>
      </w:r>
      <w:bookmarkStart w:id="422" w:name="xdx_903_eus-gaap--ClassOfWarrantOrRightE"/>
      <w:bookmarkEnd w:id="422"/>
      <w:r>
        <w:rPr>
          <w:rFonts w:ascii="Times New Roman;Times;Serif" w:hAnsi="Times New Roman;Times;Serif"/>
          <w:b w:val="false"/>
          <w:i w:val="false"/>
          <w:caps w:val="false"/>
          <w:smallCaps w:val="false"/>
          <w:sz w:val="20"/>
        </w:rPr>
        <w:t>2.00 were required to be reclassified to liabilities, including pre-funded warrants with an exercise price of $</w:t>
      </w:r>
      <w:bookmarkStart w:id="423" w:name="xdx_90B_eus-gaap--ClassOfWarrantOrRightE"/>
      <w:bookmarkEnd w:id="423"/>
      <w:r>
        <w:rPr>
          <w:rFonts w:ascii="Times New Roman;Times;Serif" w:hAnsi="Times New Roman;Times;Serif"/>
          <w:b w:val="false"/>
          <w:i w:val="false"/>
          <w:caps w:val="false"/>
          <w:smallCaps w:val="false"/>
          <w:sz w:val="20"/>
        </w:rPr>
        <w:t xml:space="preserve">0.05 per share. The pre-funded warrants are exercisable upon issuance and will remain exercisable until all the pre-funded warrants are exercised in full. At June 30, 2026 , pre-funded warrants for </w:t>
      </w:r>
      <w:bookmarkStart w:id="424" w:name="xdx_903_eus-gaap--ClassOfWarrantOrRightN"/>
      <w:bookmarkEnd w:id="424"/>
      <w:r>
        <w:rPr>
          <w:rFonts w:ascii="Times New Roman;Times;Serif" w:hAnsi="Times New Roman;Times;Serif"/>
          <w:b w:val="false"/>
          <w:i w:val="false"/>
          <w:caps w:val="false"/>
          <w:smallCaps w:val="false"/>
          <w:sz w:val="20"/>
        </w:rPr>
        <w:t>51,199 common shares remained outstanding. During the six months ended June 30, 2026 and 2025 the Company recorded a gain on change in fair value of warrant liabilities of $</w:t>
      </w:r>
      <w:bookmarkStart w:id="425" w:name="xdx_901_ecustom--GainLossOnChangeInFairV"/>
      <w:bookmarkEnd w:id="425"/>
      <w:r>
        <w:rPr>
          <w:rFonts w:ascii="Times New Roman;Times;Serif" w:hAnsi="Times New Roman;Times;Serif"/>
          <w:b w:val="false"/>
          <w:i w:val="false"/>
          <w:caps w:val="false"/>
          <w:smallCaps w:val="false"/>
          <w:sz w:val="20"/>
        </w:rPr>
        <w:t>74,625 and $</w:t>
      </w:r>
      <w:bookmarkStart w:id="426" w:name="xdx_90E_ecustom--GainLossOnChangeInFairV"/>
      <w:bookmarkEnd w:id="426"/>
      <w:r>
        <w:rPr>
          <w:rFonts w:ascii="Times New Roman;Times;Serif" w:hAnsi="Times New Roman;Times;Serif"/>
          <w:b w:val="false"/>
          <w:i w:val="false"/>
          <w:caps w:val="false"/>
          <w:smallCaps w:val="false"/>
          <w:sz w:val="20"/>
        </w:rPr>
        <w:t>55,199, respectively for these warrants. At June 30, 2026 and December 31, 2025, the fair value of these warrants was approximately $</w:t>
      </w:r>
      <w:bookmarkStart w:id="427" w:name="xdx_906_eus-gaap--WarrantsAndRightsOutst"/>
      <w:bookmarkEnd w:id="427"/>
      <w:r>
        <w:rPr>
          <w:rFonts w:ascii="Times New Roman;Times;Serif" w:hAnsi="Times New Roman;Times;Serif"/>
          <w:b w:val="false"/>
          <w:i w:val="false"/>
          <w:caps w:val="false"/>
          <w:smallCaps w:val="false"/>
          <w:sz w:val="20"/>
        </w:rPr>
        <w:t>67,253 and $</w:t>
      </w:r>
      <w:bookmarkStart w:id="428" w:name="xdx_903_eus-gaap--WarrantsAndRightsOutst"/>
      <w:bookmarkEnd w:id="428"/>
      <w:r>
        <w:rPr>
          <w:rFonts w:ascii="Times New Roman;Times;Serif" w:hAnsi="Times New Roman;Times;Serif"/>
          <w:b w:val="false"/>
          <w:i w:val="false"/>
          <w:caps w:val="false"/>
          <w:smallCaps w:val="false"/>
          <w:sz w:val="20"/>
        </w:rPr>
        <w:t>141,878,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9" w:name="xdx_890_eus-gaap--ScheduleOfStockholders"/>
      <w:bookmarkEnd w:id="429"/>
      <w:r>
        <w:rPr>
          <w:rFonts w:ascii="Times New Roman;Times;Serif" w:hAnsi="Times New Roman;Times;Serif"/>
          <w:b w:val="false"/>
          <w:i w:val="false"/>
          <w:caps w:val="false"/>
          <w:smallCaps w:val="false"/>
          <w:sz w:val="20"/>
        </w:rPr>
        <w:t>The following table summarizes the activity in liability classified warrants for the six months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0" w:name="xdx_8BC_z1ZS64eKqcte"/>
      <w:bookmarkEnd w:id="430"/>
      <w:r>
        <w:rPr>
          <w:rFonts w:ascii="Times New Roman;Times;Serif" w:hAnsi="Times New Roman;Times;Serif"/>
          <w:b w:val="false"/>
          <w:i w:val="false"/>
          <w:caps w:val="false"/>
          <w:smallCaps w:val="false"/>
          <w:sz w:val="20"/>
        </w:rPr>
        <w:t>SCHEDULE OF WARRANTS ACTIVITY </w:t>
      </w:r>
    </w:p>
    <w:tbl>
      <w:tblPr>
        <w:tblW w:w="8323" w:type="dxa"/>
        <w:jc w:val="left"/>
        <w:tblInd w:w="0" w:type="dxa"/>
        <w:tblLayout w:type="fixed"/>
        <w:tblCellMar>
          <w:top w:w="0" w:type="dxa"/>
          <w:left w:w="0" w:type="dxa"/>
          <w:bottom w:w="0" w:type="dxa"/>
          <w:right w:w="0" w:type="dxa"/>
        </w:tblCellMar>
      </w:tblPr>
      <w:tblGrid>
        <w:gridCol w:w="3800"/>
        <w:gridCol w:w="60"/>
        <w:gridCol w:w="60"/>
        <w:gridCol w:w="680"/>
        <w:gridCol w:w="60"/>
        <w:gridCol w:w="60"/>
        <w:gridCol w:w="225"/>
        <w:gridCol w:w="709"/>
        <w:gridCol w:w="60"/>
        <w:gridCol w:w="60"/>
        <w:gridCol w:w="154"/>
        <w:gridCol w:w="1095"/>
        <w:gridCol w:w="60"/>
        <w:gridCol w:w="60"/>
        <w:gridCol w:w="123"/>
        <w:gridCol w:w="902"/>
        <w:gridCol w:w="155"/>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0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 Warrants</w:t>
            </w:r>
          </w:p>
        </w:tc>
        <w:tc>
          <w:tcPr>
            <w:tcW w:w="15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15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outstanding –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31" w:name="xdx_983_eus-gaap--ShareBasedCompensation"/>
            <w:bookmarkEnd w:id="431"/>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2" w:name="xdx_985_ecustom--ShareBasedCompensationA"/>
            <w:bookmarkEnd w:id="432"/>
          </w:p>
        </w:tc>
        <w:tc>
          <w:tcPr>
            <w:tcW w:w="7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bookmarkStart w:id="433" w:name="xdx_900_ecustom--RangeOfExercisePrice_iS"/>
            <w:bookmarkEnd w:id="433"/>
            <w:r>
              <w:rPr>
                <w:rFonts w:ascii="Times New Roman;Times;Serif" w:hAnsi="Times New Roman;Times;Serif"/>
                <w:sz w:val="20"/>
              </w:rPr>
              <w:t>0.05 - $</w:t>
            </w:r>
            <w:bookmarkStart w:id="434" w:name="xdx_90F_ecustom--RangeOfExercisePrice_iS"/>
            <w:bookmarkEnd w:id="434"/>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bookmarkStart w:id="435" w:name="xdx_905_ecustom--ShareBasedCompensationA"/>
            <w:bookmarkEnd w:id="435"/>
            <w:r>
              <w:rPr>
                <w:rFonts w:ascii="Times New Roman;Times;Serif" w:hAnsi="Times New Roman;Times;Serif"/>
              </w:rPr>
              <w:t>3.68</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36" w:name="xdx_98D_eus-gaap--ShareBasedCompensation"/>
            <w:bookmarkEnd w:id="436"/>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bookmarkStart w:id="437" w:name="xdx_989_ecustom--ShareBasedCompensationA"/>
            <w:bookmarkEnd w:id="437"/>
          </w:p>
        </w:tc>
        <w:tc>
          <w:tcPr>
            <w:tcW w:w="7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bookmarkStart w:id="438" w:name="xdx_906_ecustom--RangeOfExercisePriceGra"/>
            <w:bookmarkEnd w:id="438"/>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39" w:name="xdx_980_eus-gaap--ShareBasedCompensation"/>
            <w:bookmarkEnd w:id="439"/>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bookmarkStart w:id="440" w:name="xdx_983_ecustom--ShareBasedCompensationA"/>
            <w:bookmarkEnd w:id="440"/>
          </w:p>
        </w:tc>
        <w:tc>
          <w:tcPr>
            <w:tcW w:w="7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bookmarkStart w:id="441" w:name="xdx_90B_ecustom--RangeOfExercisePriceExc"/>
            <w:bookmarkEnd w:id="441"/>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Reclassified from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42" w:name="xdx_98D_ecustom--ShareBasedCompensationA"/>
            <w:bookmarkEnd w:id="442"/>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bookmarkStart w:id="443" w:name="xdx_986_ecustom--ShareBasedCompensationA"/>
            <w:bookmarkEnd w:id="443"/>
          </w:p>
        </w:tc>
        <w:tc>
          <w:tcPr>
            <w:tcW w:w="7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bookmarkStart w:id="444" w:name="xdx_901_ecustom--RangeOfExercisePriceRec"/>
            <w:bookmarkEnd w:id="444"/>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Reclassified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45" w:name="xdx_98D_ecustom--ShareBasedCompensationA"/>
            <w:bookmarkEnd w:id="445"/>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bookmarkStart w:id="446" w:name="xdx_98A_ecustom--ShareBasedCompensationA"/>
            <w:bookmarkEnd w:id="446"/>
          </w:p>
        </w:tc>
        <w:tc>
          <w:tcPr>
            <w:tcW w:w="7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bookmarkStart w:id="447" w:name="xdx_902_ecustom--RangeOfExercisePriceRec"/>
            <w:bookmarkEnd w:id="44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8" w:name="xdx_98D_eus-gaap--ShareBasedCompensation"/>
            <w:bookmarkEnd w:id="448"/>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9" w:name="xdx_981_ecustom--ShareBasedCompensationA"/>
            <w:bookmarkEnd w:id="449"/>
          </w:p>
        </w:tc>
        <w:tc>
          <w:tcPr>
            <w:tcW w:w="7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50" w:name="xdx_907_ecustom--RangeOfExpiredPrice_pid"/>
            <w:bookmarkEnd w:id="45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outstanding –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51" w:name="xdx_982_eus-gaap--ShareBasedCompensation"/>
            <w:bookmarkEnd w:id="451"/>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2" w:name="xdx_981_ecustom--ShareBasedCompensationA"/>
            <w:bookmarkEnd w:id="452"/>
          </w:p>
        </w:tc>
        <w:tc>
          <w:tcPr>
            <w:tcW w:w="7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453" w:name="xdx_906_ecustom--RangeOfExercisePrice_iE"/>
            <w:bookmarkEnd w:id="453"/>
            <w:r>
              <w:rPr>
                <w:rFonts w:ascii="Times New Roman;Times;Serif" w:hAnsi="Times New Roman;Times;Serif"/>
                <w:sz w:val="20"/>
              </w:rPr>
              <w:t>0.05 - $</w:t>
            </w:r>
            <w:bookmarkStart w:id="454" w:name="xdx_90A_ecustom--RangeOfExercisePrice_iE"/>
            <w:bookmarkEnd w:id="454"/>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55" w:name="xdx_90F_ecustom--ShareBasedCompensationA"/>
            <w:bookmarkEnd w:id="455"/>
            <w:r>
              <w:rPr>
                <w:rFonts w:ascii="Times New Roman;Times;Serif" w:hAnsi="Times New Roman;Times;Serif"/>
              </w:rPr>
              <w:t>3.19</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6" w:name="xdx_98F_ecustom--ShareBasedCompensationA"/>
            <w:bookmarkEnd w:id="456"/>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7" w:name="xdx_985_ecustom--ShareBasedCompensationA"/>
            <w:bookmarkEnd w:id="457"/>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458" w:name="xdx_909_ecustom--RangeOfExercisePriceExe"/>
            <w:bookmarkEnd w:id="458"/>
            <w:r>
              <w:rPr>
                <w:rFonts w:ascii="Times New Roman;Times;Serif" w:hAnsi="Times New Roman;Times;Serif"/>
                <w:sz w:val="20"/>
              </w:rPr>
              <w:t>0.05 - $</w:t>
            </w:r>
            <w:bookmarkStart w:id="459" w:name="xdx_90F_ecustom--RangeOfExercisePriceExe"/>
            <w:bookmarkEnd w:id="459"/>
            <w:r>
              <w:rPr>
                <w:rFonts w:ascii="Times New Roman;Times;Serif" w:hAnsi="Times New Roman;Times;Serif"/>
                <w:sz w:val="20"/>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60" w:name="xdx_90C_ecustom--ShareBasedCompensationA"/>
            <w:bookmarkEnd w:id="460"/>
            <w:r>
              <w:rPr>
                <w:rFonts w:ascii="Times New Roman;Times;Serif" w:hAnsi="Times New Roman;Times;Serif"/>
              </w:rPr>
              <w:t>3.19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25"/>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1" w:name="xdx_F02_zHrf57bT8W"/>
            <w:bookmarkEnd w:id="461"/>
            <w:r>
              <w:rPr>
                <w:rFonts w:ascii="Times New Roman;Times;Serif" w:hAnsi="Times New Roman;Times;Serif"/>
                <w:b w:val="false"/>
                <w:i w:val="false"/>
                <w:caps w:val="false"/>
                <w:smallCaps w:val="false"/>
                <w:sz w:val="20"/>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2" w:name="xdx_F1E_zU5n9y0bOb4"/>
            <w:bookmarkEnd w:id="462"/>
            <w:r>
              <w:rPr>
                <w:rFonts w:ascii="Times New Roman;Times;Serif" w:hAnsi="Times New Roman;Times;Serif"/>
                <w:b w:val="false"/>
                <w:i/>
                <w:caps w:val="false"/>
                <w:smallCaps w:val="false"/>
                <w:sz w:val="20"/>
              </w:rPr>
              <w:t xml:space="preserve">excludes </w:t>
            </w:r>
            <w:bookmarkStart w:id="463" w:name="xdx_90C_eus-gaap--ClassOfWarrantOrRightO"/>
            <w:bookmarkEnd w:id="463"/>
            <w:r>
              <w:rPr>
                <w:rFonts w:ascii="Times New Roman;Times;Serif" w:hAnsi="Times New Roman;Times;Serif"/>
                <w:b w:val="false"/>
                <w:i/>
                <w:caps w:val="false"/>
                <w:smallCaps w:val="false"/>
                <w:sz w:val="20"/>
              </w:rPr>
              <w:t>51,199 pre-funded warrants which have no expiration date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in liability classified warrants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00"/>
        <w:gridCol w:w="60"/>
        <w:gridCol w:w="60"/>
        <w:gridCol w:w="680"/>
        <w:gridCol w:w="95"/>
        <w:gridCol w:w="60"/>
        <w:gridCol w:w="301"/>
        <w:gridCol w:w="948"/>
        <w:gridCol w:w="60"/>
        <w:gridCol w:w="60"/>
        <w:gridCol w:w="154"/>
        <w:gridCol w:w="1095"/>
        <w:gridCol w:w="60"/>
        <w:gridCol w:w="60"/>
        <w:gridCol w:w="123"/>
        <w:gridCol w:w="902"/>
        <w:gridCol w:w="155"/>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5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 Warrants</w:t>
            </w:r>
          </w:p>
        </w:tc>
        <w:tc>
          <w:tcPr>
            <w:tcW w:w="15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15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outstanding –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64" w:name="xdx_984_eus-gaap--ShareBasedCompensation"/>
            <w:bookmarkEnd w:id="46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5" w:name="xdx_98C_ecustom--ShareBasedCompensationA"/>
            <w:bookmarkEnd w:id="465"/>
          </w:p>
        </w:tc>
        <w:tc>
          <w:tcPr>
            <w:tcW w:w="9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bookmarkStart w:id="466" w:name="xdx_904_ecustom--RangeOfExercisePrice_iS"/>
            <w:bookmarkEnd w:id="466"/>
            <w:r>
              <w:rPr>
                <w:rFonts w:ascii="Times New Roman;Times;Serif" w:hAnsi="Times New Roman;Times;Serif"/>
                <w:sz w:val="20"/>
              </w:rPr>
              <w:t>0.05 - $</w:t>
            </w:r>
            <w:bookmarkStart w:id="467" w:name="xdx_904_ecustom--RangeOfExercisePrice_iS"/>
            <w:bookmarkEnd w:id="467"/>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bookmarkStart w:id="468" w:name="xdx_906_ecustom--ShareBasedCompensationA"/>
            <w:bookmarkEnd w:id="468"/>
            <w:r>
              <w:rPr>
                <w:rFonts w:ascii="Times New Roman;Times;Serif" w:hAnsi="Times New Roman;Times;Serif"/>
              </w:rPr>
              <w:t>4.68</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69" w:name="xdx_981_eus-gaap--ShareBasedCompensation"/>
            <w:bookmarkEnd w:id="469"/>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bookmarkStart w:id="470" w:name="xdx_985_ecustom--ShareBasedCompensationA"/>
            <w:bookmarkEnd w:id="470"/>
          </w:p>
        </w:tc>
        <w:tc>
          <w:tcPr>
            <w:tcW w:w="9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bookmarkStart w:id="471" w:name="xdx_90D_ecustom--RangeOfExercisePriceGra"/>
            <w:bookmarkEnd w:id="471"/>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72" w:name="xdx_985_eus-gaap--ShareBasedCompensation"/>
            <w:bookmarkEnd w:id="472"/>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bookmarkStart w:id="473" w:name="xdx_987_ecustom--ShareBasedCompensationA"/>
            <w:bookmarkEnd w:id="473"/>
          </w:p>
        </w:tc>
        <w:tc>
          <w:tcPr>
            <w:tcW w:w="9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bookmarkStart w:id="474" w:name="xdx_900_ecustom--RangeOfExercisePriceExc"/>
            <w:bookmarkEnd w:id="47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5" w:name="xdx_98C_eus-gaap--ShareBasedCompensation"/>
            <w:bookmarkEnd w:id="475"/>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6" w:name="xdx_989_ecustom--ShareBasedCompensationA"/>
            <w:bookmarkEnd w:id="476"/>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477" w:name="xdx_905_ecustom--RangeOfExpiredPrice_pid"/>
            <w:bookmarkEnd w:id="477"/>
            <w:r>
              <w:rPr>
                <w:rFonts w:ascii="Times New Roman;Times;Serif" w:hAnsi="Times New Roman;Times;Serif"/>
                <w:sz w:val="20"/>
              </w:rPr>
              <w:t>6.50 - $</w:t>
            </w:r>
            <w:bookmarkStart w:id="478" w:name="xdx_90D_ecustom--RangeOfExpiredPrice_pid"/>
            <w:bookmarkEnd w:id="478"/>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outstanding –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79" w:name="xdx_98C_eus-gaap--ShareBasedCompensation"/>
            <w:bookmarkEnd w:id="479"/>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0" w:name="xdx_981_ecustom--ShareBasedCompensationA"/>
            <w:bookmarkEnd w:id="480"/>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481" w:name="xdx_906_ecustom--RangeOfExercisePrice_iE"/>
            <w:bookmarkEnd w:id="481"/>
            <w:r>
              <w:rPr>
                <w:rFonts w:ascii="Times New Roman;Times;Serif" w:hAnsi="Times New Roman;Times;Serif"/>
                <w:sz w:val="20"/>
              </w:rPr>
              <w:t>0.05 - $</w:t>
            </w:r>
            <w:bookmarkStart w:id="482" w:name="xdx_904_ecustom--RangeOfExercisePrice_iE"/>
            <w:bookmarkEnd w:id="482"/>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83" w:name="xdx_900_ecustom--ShareBasedCompensationA"/>
            <w:bookmarkEnd w:id="483"/>
            <w:r>
              <w:rPr>
                <w:rFonts w:ascii="Times New Roman;Times;Serif" w:hAnsi="Times New Roman;Times;Serif"/>
              </w:rPr>
              <w:t>4.19</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84" w:name="xdx_980_ecustom--ShareBasedCompensationA"/>
            <w:bookmarkEnd w:id="484"/>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5" w:name="xdx_981_ecustom--ShareBasedCompensationA"/>
            <w:bookmarkEnd w:id="485"/>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486" w:name="xdx_904_ecustom--RangeOfExercisePriceExe"/>
            <w:bookmarkEnd w:id="486"/>
            <w:r>
              <w:rPr>
                <w:rFonts w:ascii="Times New Roman;Times;Serif" w:hAnsi="Times New Roman;Times;Serif"/>
                <w:sz w:val="20"/>
              </w:rPr>
              <w:t>0.05 - $</w:t>
            </w:r>
            <w:bookmarkStart w:id="487" w:name="xdx_90E_ecustom--RangeOfExercisePriceExe"/>
            <w:bookmarkEnd w:id="487"/>
            <w:r>
              <w:rPr>
                <w:rFonts w:ascii="Times New Roman;Times;Serif" w:hAnsi="Times New Roman;Times;Serif"/>
                <w:sz w:val="20"/>
              </w:rPr>
              <w:t>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88" w:name="xdx_90E_ecustom--ShareBasedCompensationA"/>
            <w:bookmarkEnd w:id="488"/>
            <w:r>
              <w:rPr>
                <w:rFonts w:ascii="Times New Roman;Times;Serif" w:hAnsi="Times New Roman;Times;Serif"/>
              </w:rPr>
              <w:t>3.83</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25"/>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bookmarkStart w:id="489" w:name="xdx_F03_zwl6Syr3ZI8l"/>
            <w:bookmarkEnd w:id="489"/>
            <w:r>
              <w:rPr>
                <w:rFonts w:ascii="Times New Roman;Times;Serif" w:hAnsi="Times New Roman;Times;Serif"/>
                <w:b w:val="false"/>
                <w:i/>
                <w:caps w:val="false"/>
                <w:smallCaps w:val="false"/>
                <w:sz w:val="20"/>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90" w:name="xdx_F1E_zul7FbCwqksh"/>
            <w:bookmarkEnd w:id="490"/>
            <w:r>
              <w:rPr>
                <w:rFonts w:ascii="Times New Roman;Times;Serif" w:hAnsi="Times New Roman;Times;Serif"/>
                <w:b w:val="false"/>
                <w:i/>
                <w:caps w:val="false"/>
                <w:smallCaps w:val="false"/>
                <w:sz w:val="20"/>
              </w:rPr>
              <w:t xml:space="preserve">excludes </w:t>
            </w:r>
            <w:bookmarkStart w:id="491" w:name="xdx_90E_eus-gaap--ClassOfWarrantOrRightO"/>
            <w:bookmarkEnd w:id="491"/>
            <w:r>
              <w:rPr>
                <w:rFonts w:ascii="Times New Roman;Times;Serif" w:hAnsi="Times New Roman;Times;Serif"/>
                <w:b w:val="false"/>
                <w:i/>
                <w:caps w:val="false"/>
                <w:smallCaps w:val="false"/>
                <w:sz w:val="20"/>
              </w:rPr>
              <w:t>51,199 pre-funded warrants which have no expiration date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bookmarkStart w:id="492" w:name="xdx_8A0_zRDFIzGKlpzf"/>
      <w:bookmarkEnd w:id="49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3" w:name="xdx_89A_eus-gaap--FairValueLiabilitiesMe"/>
      <w:bookmarkEnd w:id="493"/>
      <w:r>
        <w:rPr>
          <w:rFonts w:ascii="Times New Roman;Times;Serif" w:hAnsi="Times New Roman;Times;Serif"/>
          <w:b w:val="false"/>
          <w:i w:val="false"/>
          <w:caps w:val="false"/>
          <w:smallCaps w:val="false"/>
          <w:sz w:val="20"/>
        </w:rPr>
        <w:t>The following table presents the Company’s fair value hierarchy for its warrant liabilities measured at fair value on a recurring basis as of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4" w:name="xdx_8B9_z1DHYZNhFxAe"/>
      <w:bookmarkEnd w:id="494"/>
      <w:r>
        <w:rPr>
          <w:rFonts w:ascii="Times New Roman;Times;Serif" w:hAnsi="Times New Roman;Times;Serif"/>
          <w:b w:val="false"/>
          <w:i w:val="false"/>
          <w:caps w:val="false"/>
          <w:smallCaps w:val="false"/>
          <w:sz w:val="20"/>
        </w:rPr>
        <w:t>SCHEDULE OF FAIR VALUE OF HIERARCHY FOR WARRANT LIABILITIES </w:t>
      </w:r>
    </w:p>
    <w:tbl>
      <w:tblPr>
        <w:tblW w:w="10205" w:type="dxa"/>
        <w:jc w:val="left"/>
        <w:tblInd w:w="0" w:type="dxa"/>
        <w:tblLayout w:type="fixed"/>
        <w:tblCellMar>
          <w:top w:w="0" w:type="dxa"/>
          <w:left w:w="0" w:type="dxa"/>
          <w:bottom w:w="0" w:type="dxa"/>
          <w:right w:w="0" w:type="dxa"/>
        </w:tblCellMar>
      </w:tblPr>
      <w:tblGrid>
        <w:gridCol w:w="4525"/>
        <w:gridCol w:w="60"/>
        <w:gridCol w:w="550"/>
        <w:gridCol w:w="1019"/>
        <w:gridCol w:w="60"/>
        <w:gridCol w:w="60"/>
        <w:gridCol w:w="411"/>
        <w:gridCol w:w="764"/>
        <w:gridCol w:w="60"/>
        <w:gridCol w:w="60"/>
        <w:gridCol w:w="211"/>
        <w:gridCol w:w="1219"/>
        <w:gridCol w:w="95"/>
        <w:gridCol w:w="60"/>
        <w:gridCol w:w="140"/>
        <w:gridCol w:w="800"/>
        <w:gridCol w:w="111"/>
      </w:tblGrid>
      <w:tr>
        <w:trPr/>
        <w:tc>
          <w:tcPr>
            <w:tcW w:w="4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95" w:name="xdx_492_20260101__20260630__us-gaap--Fai"/>
            <w:bookmarkEnd w:id="495"/>
          </w:p>
        </w:tc>
        <w:tc>
          <w:tcPr>
            <w:tcW w:w="15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Quoted 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6" w:name="xdx_497_20260101__20260630__us-gaap--Fai"/>
            <w:bookmarkEnd w:id="496"/>
          </w:p>
        </w:tc>
        <w:tc>
          <w:tcPr>
            <w:tcW w:w="11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7" w:name="xdx_49D_20260101__20260630__us-gaap--Fai"/>
            <w:bookmarkEnd w:id="497"/>
          </w:p>
        </w:tc>
        <w:tc>
          <w:tcPr>
            <w:tcW w:w="14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8" w:name="xdx_49A_20260101__20260630_zwcIm6LMY1P9"/>
            <w:bookmarkEnd w:id="498"/>
          </w:p>
        </w:tc>
        <w:tc>
          <w:tcPr>
            <w:tcW w:w="94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Identical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Unobservable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Inputs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45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 Warrant liabilities</w:t>
            </w:r>
          </w:p>
        </w:tc>
        <w:tc>
          <w:tcPr>
            <w:tcW w:w="60" w:type="dxa"/>
            <w:tcBorders/>
            <w:vAlign w:val="center"/>
          </w:tcPr>
          <w:p>
            <w:pPr>
              <w:pStyle w:val="TableContents"/>
              <w:bidi w:val="0"/>
              <w:spacing w:before="0" w:after="283"/>
              <w:jc w:val="left"/>
              <w:rPr/>
            </w:pPr>
            <w:r>
              <w:rPr/>
              <w:t> </w:t>
            </w:r>
          </w:p>
        </w:tc>
        <w:tc>
          <w:tcPr>
            <w:tcW w:w="15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1" w:type="dxa"/>
            <w:tcBorders/>
            <w:vAlign w:val="center"/>
          </w:tcPr>
          <w:p>
            <w:pPr>
              <w:pStyle w:val="TableContents"/>
              <w:bidi w:val="0"/>
              <w:spacing w:before="0" w:after="283"/>
              <w:jc w:val="left"/>
              <w:rPr/>
            </w:pPr>
            <w:r>
              <w:rPr/>
              <w:t> </w:t>
            </w:r>
            <w:bookmarkStart w:id="499" w:name="xdx_405_eus-gaap--FairValueMeasurementWi"/>
            <w:bookmarkEnd w:id="499"/>
          </w:p>
        </w:tc>
      </w:tr>
      <w:tr>
        <w:trPr/>
        <w:tc>
          <w:tcPr>
            <w:tcW w:w="4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111" w:type="dxa"/>
            <w:tcBorders/>
            <w:shd w:fill="CCEEFF" w:val="clear"/>
            <w:vAlign w:val="center"/>
          </w:tcPr>
          <w:p>
            <w:pPr>
              <w:pStyle w:val="TableContents"/>
              <w:bidi w:val="0"/>
              <w:spacing w:before="0" w:after="283"/>
              <w:jc w:val="left"/>
              <w:rPr/>
            </w:pPr>
            <w:r>
              <w:rPr/>
              <w:t> </w:t>
            </w:r>
            <w:bookmarkStart w:id="500" w:name="xdx_402_eus-gaap--FairValueMeasurementWi"/>
            <w:bookmarkEnd w:id="500"/>
          </w:p>
        </w:tc>
      </w:tr>
      <w:tr>
        <w:trPr/>
        <w:tc>
          <w:tcPr>
            <w:tcW w:w="4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501" w:name="xdx_40B_ecustom--FairValueMeasurementWit"/>
            <w:bookmarkEnd w:id="501"/>
          </w:p>
        </w:tc>
      </w:tr>
      <w:tr>
        <w:trPr/>
        <w:tc>
          <w:tcPr>
            <w:tcW w:w="4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502" w:name="xdx_404_eus-gaap--FairValueMeasurementWi"/>
            <w:bookmarkEnd w:id="502"/>
          </w:p>
        </w:tc>
      </w:tr>
      <w:tr>
        <w:trPr/>
        <w:tc>
          <w:tcPr>
            <w:tcW w:w="4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(74,625</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3" w:name="xdx_402_eus-gaap--FairValueMeasurementWi"/>
            <w:bookmarkEnd w:id="503"/>
          </w:p>
        </w:tc>
      </w:tr>
      <w:tr>
        <w:trPr/>
        <w:tc>
          <w:tcPr>
            <w:tcW w:w="4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June 30, 2026</w:t>
            </w:r>
          </w:p>
        </w:tc>
        <w:tc>
          <w:tcPr>
            <w:tcW w:w="60" w:type="dxa"/>
            <w:tcBorders/>
            <w:shd w:fill="CCEEFF" w:val="clear"/>
            <w:vAlign w:val="center"/>
          </w:tcPr>
          <w:p>
            <w:pPr>
              <w:pStyle w:val="TableContents"/>
              <w:bidi w:val="0"/>
              <w:spacing w:before="0" w:after="283"/>
              <w:jc w:val="left"/>
              <w:rPr/>
            </w:pPr>
            <w:r>
              <w:rPr/>
              <w:t> </w:t>
            </w:r>
          </w:p>
        </w:tc>
        <w:tc>
          <w:tcPr>
            <w:tcW w:w="5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67,253</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fair value hierarchy for its warrant liabilities measured at fair value on a recurring basis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9"/>
        <w:gridCol w:w="60"/>
        <w:gridCol w:w="531"/>
        <w:gridCol w:w="958"/>
        <w:gridCol w:w="60"/>
        <w:gridCol w:w="60"/>
        <w:gridCol w:w="411"/>
        <w:gridCol w:w="764"/>
        <w:gridCol w:w="60"/>
        <w:gridCol w:w="60"/>
        <w:gridCol w:w="196"/>
        <w:gridCol w:w="1234"/>
        <w:gridCol w:w="95"/>
        <w:gridCol w:w="60"/>
        <w:gridCol w:w="140"/>
        <w:gridCol w:w="875"/>
        <w:gridCol w:w="112"/>
      </w:tblGrid>
      <w:tr>
        <w:trPr/>
        <w:tc>
          <w:tcPr>
            <w:tcW w:w="4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4" w:name="xdx_498_20250101__20251231__us-gaap--Fai"/>
            <w:bookmarkEnd w:id="504"/>
          </w:p>
        </w:tc>
        <w:tc>
          <w:tcPr>
            <w:tcW w:w="14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Quoted 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5" w:name="xdx_495_20250101__20251231__us-gaap--Fai"/>
            <w:bookmarkEnd w:id="505"/>
          </w:p>
        </w:tc>
        <w:tc>
          <w:tcPr>
            <w:tcW w:w="11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6" w:name="xdx_496_20250101__20251231__us-gaap--Fai"/>
            <w:bookmarkEnd w:id="506"/>
          </w:p>
        </w:tc>
        <w:tc>
          <w:tcPr>
            <w:tcW w:w="14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7" w:name="xdx_49D_20250101__20251231_zxNYsqzn8oC5"/>
            <w:bookmarkEnd w:id="507"/>
          </w:p>
        </w:tc>
        <w:tc>
          <w:tcPr>
            <w:tcW w:w="101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Identical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Unobservable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5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Inputs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52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 Warrant liabilities</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2" w:type="dxa"/>
            <w:tcBorders/>
            <w:vAlign w:val="center"/>
          </w:tcPr>
          <w:p>
            <w:pPr>
              <w:pStyle w:val="TableContents"/>
              <w:bidi w:val="0"/>
              <w:spacing w:before="0" w:after="283"/>
              <w:jc w:val="left"/>
              <w:rPr/>
            </w:pPr>
            <w:r>
              <w:rPr/>
              <w:t> </w:t>
            </w:r>
            <w:bookmarkStart w:id="508" w:name="xdx_405_eus-gaap--FairValueMeasurementWi"/>
            <w:bookmarkEnd w:id="508"/>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269,175</w:t>
            </w:r>
          </w:p>
        </w:tc>
        <w:tc>
          <w:tcPr>
            <w:tcW w:w="112" w:type="dxa"/>
            <w:tcBorders/>
            <w:shd w:fill="CCEEFF" w:val="clear"/>
            <w:vAlign w:val="center"/>
          </w:tcPr>
          <w:p>
            <w:pPr>
              <w:pStyle w:val="TableContents"/>
              <w:bidi w:val="0"/>
              <w:spacing w:before="0" w:after="283"/>
              <w:jc w:val="left"/>
              <w:rPr/>
            </w:pPr>
            <w:r>
              <w:rPr/>
              <w:t> </w:t>
            </w:r>
            <w:bookmarkStart w:id="509" w:name="xdx_403_eus-gaap--FairValueMeasurementWi"/>
            <w:bookmarkEnd w:id="509"/>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w:t>
            </w:r>
          </w:p>
        </w:tc>
        <w:tc>
          <w:tcPr>
            <w:tcW w:w="60"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269,175</w:t>
            </w:r>
          </w:p>
        </w:tc>
        <w:tc>
          <w:tcPr>
            <w:tcW w:w="112" w:type="dxa"/>
            <w:tcBorders/>
            <w:shd w:fill="CCEEFF" w:val="clear"/>
            <w:vAlign w:val="center"/>
          </w:tcPr>
          <w:p>
            <w:pPr>
              <w:pStyle w:val="TableContents"/>
              <w:bidi w:val="0"/>
              <w:spacing w:before="0" w:after="283"/>
              <w:jc w:val="left"/>
              <w:rPr/>
            </w:pPr>
            <w:r>
              <w:rPr/>
              <w:t> </w:t>
            </w:r>
            <w:bookmarkStart w:id="510" w:name="xdx_402_eus-gaap--FairValueMeasurementWi"/>
            <w:bookmarkEnd w:id="510"/>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511" w:name="xdx_40B_ecustom--FairValueMeasurementWit"/>
            <w:bookmarkEnd w:id="511"/>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512" w:name="xdx_404_eus-gaap--FairValueMeasurementWi"/>
            <w:bookmarkEnd w:id="512"/>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5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(127,297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3" w:name="xdx_40F_eus-gaap--FairValueMeasurementWi"/>
            <w:bookmarkEnd w:id="513"/>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loss) on 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5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(127,297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4" w:name="xdx_402_eus-gaap--FairValueMeasurementWi"/>
            <w:bookmarkEnd w:id="514"/>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5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112" w:type="dxa"/>
            <w:tcBorders/>
            <w:shd w:fill="CCEEFF" w:val="clear"/>
            <w:vAlign w:val="center"/>
          </w:tcPr>
          <w:p>
            <w:pPr>
              <w:pStyle w:val="TableContents"/>
              <w:bidi w:val="0"/>
              <w:spacing w:before="0" w:after="283"/>
              <w:jc w:val="left"/>
              <w:rPr/>
            </w:pPr>
            <w:r>
              <w:rPr/>
              <w:t> </w:t>
            </w:r>
            <w:bookmarkStart w:id="515" w:name="xdx_40D_eus-gaap--FairValueMeasurementWi"/>
            <w:bookmarkEnd w:id="515"/>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w:t>
            </w:r>
          </w:p>
        </w:tc>
        <w:tc>
          <w:tcPr>
            <w:tcW w:w="60" w:type="dxa"/>
            <w:tcBorders/>
            <w:shd w:fill="CCEEFF" w:val="clear"/>
            <w:vAlign w:val="center"/>
          </w:tcPr>
          <w:p>
            <w:pPr>
              <w:pStyle w:val="TableContents"/>
              <w:bidi w:val="0"/>
              <w:spacing w:before="0" w:after="283"/>
              <w:jc w:val="left"/>
              <w:rPr/>
            </w:pPr>
            <w:r>
              <w:rPr/>
              <w:t> </w:t>
            </w:r>
          </w:p>
        </w:tc>
        <w:tc>
          <w:tcPr>
            <w:tcW w:w="5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141,878</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6" w:name="xdx_8A8_zYozzj3jtmGd"/>
      <w:bookmarkEnd w:id="5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of financial assets or liabilities between category levels for the six months ended June 30, 2026 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warrant liabilities was based on valuations internally generated Black Scholes valuations. Due to the nominal exercise price of the 2024 Pre-Funded Warrants and indefinite term, the Company calculated an implied value of the 2024 Pre-Funded Warrants based on the underlying common stock price on the valuation date, less the exercise price. For volatility, the Company considers comparable public companies as a basis for its expected volatility to calculate the fair value of common stock warrants and transitions to its own volatility as the Company develops sufficient appropriate history as a public company. The risk-free interest rate is based on U.S. Treasury notes with a term approximating the expected term of the common stock warrant. The Company uses an expected dividend yield of zero based on the fact that the Company has never paid cash dividends and does not expect to pay cash dividends in the foreseeable future. Any significant changes in the inputs may result in significantly higher or lower fair value measurements.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7" w:name="xdx_89A_eus-gaap--FairValueAssetsMeasure"/>
      <w:bookmarkEnd w:id="517"/>
      <w:r>
        <w:rPr>
          <w:rFonts w:ascii="Times New Roman;Times;Serif" w:hAnsi="Times New Roman;Times;Serif"/>
          <w:b w:val="false"/>
          <w:i w:val="false"/>
          <w:caps w:val="false"/>
          <w:smallCaps w:val="false"/>
          <w:sz w:val="20"/>
        </w:rPr>
        <w:t>The following are the weighted average and the range of assumptions used in estimating the fair value of warrant liabilities (weighted average calculated based on the number of outstanding warrants on each issuance) as of June 30, 2026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8" w:name="xdx_8B6_z4hlhjUZVOac"/>
      <w:bookmarkEnd w:id="518"/>
      <w:r>
        <w:rPr>
          <w:rFonts w:ascii="Times New Roman;Times;Serif" w:hAnsi="Times New Roman;Times;Serif"/>
          <w:b w:val="false"/>
          <w:i w:val="false"/>
          <w:caps w:val="false"/>
          <w:smallCaps w:val="false"/>
          <w:sz w:val="20"/>
        </w:rPr>
        <w:t>SCHEDULE OF ASSUMPTIONS OF WARRANT LIABILITIES </w:t>
      </w:r>
    </w:p>
    <w:p>
      <w:pPr>
        <w:pStyle w:val="TextBody"/>
        <w:bidi w:val="0"/>
        <w:spacing w:before="0" w:after="0"/>
        <w:ind w:left="0" w:right="0" w:hanging="0"/>
        <w:jc w:val="both"/>
        <w:rPr>
          <w:caps w:val="false"/>
          <w:smallCaps w:val="false"/>
        </w:rPr>
      </w:pPr>
      <w:r>
        <w:rPr>
          <w:caps w:val="false"/>
          <w:smallCaps w:val="false"/>
        </w:rPr>
        <w:t> </w:t>
      </w:r>
    </w:p>
    <w:tbl>
      <w:tblPr>
        <w:tblW w:w="6308" w:type="dxa"/>
        <w:jc w:val="left"/>
        <w:tblInd w:w="0" w:type="dxa"/>
        <w:tblLayout w:type="fixed"/>
        <w:tblCellMar>
          <w:top w:w="0" w:type="dxa"/>
          <w:left w:w="0" w:type="dxa"/>
          <w:bottom w:w="0" w:type="dxa"/>
          <w:right w:w="0" w:type="dxa"/>
        </w:tblCellMar>
      </w:tblPr>
      <w:tblGrid>
        <w:gridCol w:w="3035"/>
        <w:gridCol w:w="60"/>
        <w:gridCol w:w="109"/>
        <w:gridCol w:w="1245"/>
        <w:gridCol w:w="215"/>
        <w:gridCol w:w="60"/>
        <w:gridCol w:w="109"/>
        <w:gridCol w:w="1245"/>
        <w:gridCol w:w="230"/>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2025</w:t>
            </w:r>
          </w:p>
        </w:tc>
        <w:tc>
          <w:tcPr>
            <w:tcW w:w="23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Range</w:t>
            </w:r>
          </w:p>
        </w:tc>
        <w:tc>
          <w:tcPr>
            <w:tcW w:w="23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rPr>
            </w:pPr>
            <w:bookmarkStart w:id="519" w:name="xdx_901_eus-gaap--WarrantsAndRightsOutst"/>
            <w:bookmarkEnd w:id="519"/>
            <w:r>
              <w:rPr>
                <w:rFonts w:ascii="Times New Roman;Times;Serif" w:hAnsi="Times New Roman;Times;Serif"/>
              </w:rPr>
              <w:t>4.15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rPr>
            </w:pPr>
            <w:bookmarkStart w:id="520" w:name="xdx_909_eus-gaap--WarrantsAndRightsOutst"/>
            <w:bookmarkEnd w:id="520"/>
            <w:r>
              <w:rPr>
                <w:rFonts w:ascii="Times New Roman;Times;Serif" w:hAnsi="Times New Roman;Times;Serif"/>
              </w:rPr>
              <w:t>3.79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(peer group)</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Times;Serif" w:hAnsi="Times New Roman;Times;Serif"/>
              </w:rPr>
            </w:pPr>
            <w:bookmarkStart w:id="521" w:name="xdx_906_eus-gaap--WarrantsAndRightsOutst"/>
            <w:bookmarkEnd w:id="521"/>
            <w:r>
              <w:rPr>
                <w:rFonts w:ascii="Times New Roman;Times;Serif" w:hAnsi="Times New Roman;Times;Serif"/>
              </w:rPr>
              <w:t>130.00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Times;Serif" w:hAnsi="Times New Roman;Times;Serif"/>
              </w:rPr>
            </w:pPr>
            <w:bookmarkStart w:id="522" w:name="xdx_903_eus-gaap--WarrantsAndRightsOutst"/>
            <w:bookmarkEnd w:id="522"/>
            <w:r>
              <w:rPr>
                <w:rFonts w:ascii="Times New Roman;Times;Serif" w:hAnsi="Times New Roman;Times;Serif"/>
              </w:rPr>
              <w:t>133.50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 of warrants (years)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rPr>
            </w:pPr>
            <w:bookmarkStart w:id="523" w:name="xdx_90C_eus-gaap--WarrantsAndRightsOutst"/>
            <w:bookmarkEnd w:id="523"/>
            <w:r>
              <w:rPr>
                <w:rFonts w:ascii="Times New Roman;Times;Serif" w:hAnsi="Times New Roman;Times;Serif"/>
              </w:rPr>
              <w:t>3.19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rPr>
            </w:pPr>
            <w:bookmarkStart w:id="524" w:name="xdx_903_eus-gaap--WarrantsAndRightsOutst"/>
            <w:bookmarkEnd w:id="524"/>
            <w:r>
              <w:rPr>
                <w:rFonts w:ascii="Times New Roman;Times;Serif" w:hAnsi="Times New Roman;Times;Serif"/>
              </w:rPr>
              <w:t>4.19</w:t>
            </w:r>
          </w:p>
        </w:tc>
        <w:tc>
          <w:tcPr>
            <w:tcW w:w="23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Times;Serif" w:hAnsi="Times New Roman;Times;Serif"/>
              </w:rPr>
            </w:pPr>
            <w:bookmarkStart w:id="525" w:name="xdx_909_eus-gaap--WarrantsAndRightsOutst"/>
            <w:bookmarkEnd w:id="525"/>
            <w:r>
              <w:rPr>
                <w:rFonts w:ascii="Times New Roman;Times;Serif" w:hAnsi="Times New Roman;Times;Serif"/>
              </w:rPr>
              <w:t>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Times;Serif" w:hAnsi="Times New Roman;Times;Serif"/>
              </w:rPr>
            </w:pPr>
            <w:bookmarkStart w:id="526" w:name="xdx_90C_eus-gaap--WarrantsAndRightsOutst"/>
            <w:bookmarkEnd w:id="526"/>
            <w:r>
              <w:rPr>
                <w:rFonts w:ascii="Times New Roman;Times;Serif" w:hAnsi="Times New Roman;Times;Serif"/>
              </w:rPr>
              <w:t>0.00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527" w:name="xdx_8AF_zvn281LqT6Gf"/>
      <w:bookmarkEnd w:id="5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8" w:name="xdx_80E_eus-gaap--DebtDisclosureTextBloc"/>
      <w:bookmarkEnd w:id="528"/>
      <w:r>
        <w:rPr>
          <w:rFonts w:ascii="Times New Roman;Times;Serif" w:hAnsi="Times New Roman;Times;Serif"/>
          <w:b/>
          <w:i w:val="false"/>
          <w:caps w:val="false"/>
          <w:smallCaps w:val="false"/>
          <w:sz w:val="20"/>
        </w:rPr>
        <w:t xml:space="preserve">NOTE 9 — </w:t>
      </w:r>
      <w:bookmarkStart w:id="529" w:name="xdx_82E_zYq8BHFryxcc"/>
      <w:bookmarkEnd w:id="529"/>
      <w:r>
        <w:rPr>
          <w:rFonts w:ascii="Times New Roman;Times;Serif" w:hAnsi="Times New Roman;Times;Serif"/>
          <w:b/>
          <w:i w:val="false"/>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the Company entered into a Secured Convertible Note (the “2025 Convertible Note”) with Alpha Capital Anstalt (“Alpha”, or “Holder”), pursuant to which the Company issued to Alpha a non-interest-bearing note with a principal of $</w:t>
      </w:r>
      <w:bookmarkStart w:id="530" w:name="xdx_904_eus-gaap--DebtInstrumentFaceAmou"/>
      <w:bookmarkEnd w:id="530"/>
      <w:r>
        <w:rPr>
          <w:rFonts w:ascii="Times New Roman;Times;Serif" w:hAnsi="Times New Roman;Times;Serif"/>
          <w:b w:val="false"/>
          <w:i w:val="false"/>
          <w:caps w:val="false"/>
          <w:smallCaps w:val="false"/>
          <w:sz w:val="20"/>
        </w:rPr>
        <w:t xml:space="preserve">264,000, and an original issue discount (“OID”) of </w:t>
      </w:r>
      <w:bookmarkStart w:id="531" w:name="xdx_902_eus-gaap--DebtInstrumentInterest"/>
      <w:bookmarkEnd w:id="531"/>
      <w:r>
        <w:rPr>
          <w:rFonts w:ascii="Times New Roman;Times;Serif" w:hAnsi="Times New Roman;Times;Serif"/>
          <w:b w:val="false"/>
          <w:i w:val="false"/>
          <w:caps w:val="false"/>
          <w:smallCaps w:val="false"/>
          <w:sz w:val="20"/>
        </w:rPr>
        <w:t>20%, or $</w:t>
      </w:r>
      <w:bookmarkStart w:id="532" w:name="xdx_901_eus-gaap--DebtInstrumentCarrying"/>
      <w:bookmarkEnd w:id="532"/>
      <w:r>
        <w:rPr>
          <w:rFonts w:ascii="Times New Roman;Times;Serif" w:hAnsi="Times New Roman;Times;Serif"/>
          <w:b w:val="false"/>
          <w:i w:val="false"/>
          <w:caps w:val="false"/>
          <w:smallCaps w:val="false"/>
          <w:sz w:val="20"/>
        </w:rPr>
        <w:t>44,000, in exchange for $</w:t>
      </w:r>
      <w:bookmarkStart w:id="533" w:name="xdx_90C_eus-gaap--Cash_iI_c20250428__us-"/>
      <w:bookmarkEnd w:id="533"/>
      <w:r>
        <w:rPr>
          <w:rFonts w:ascii="Times New Roman;Times;Serif" w:hAnsi="Times New Roman;Times;Serif"/>
          <w:b w:val="false"/>
          <w:i w:val="false"/>
          <w:caps w:val="false"/>
          <w:smallCaps w:val="false"/>
          <w:sz w:val="20"/>
        </w:rPr>
        <w:t>220,000 cash, less $</w:t>
      </w:r>
      <w:bookmarkStart w:id="534" w:name="xdx_90D_eus-gaap--OtherExpenses_c2025042"/>
      <w:bookmarkEnd w:id="534"/>
      <w:r>
        <w:rPr>
          <w:rFonts w:ascii="Times New Roman;Times;Serif" w:hAnsi="Times New Roman;Times;Serif"/>
          <w:b w:val="false"/>
          <w:i w:val="false"/>
          <w:caps w:val="false"/>
          <w:smallCaps w:val="false"/>
          <w:sz w:val="20"/>
        </w:rPr>
        <w:t>20,000 in expenses. The Note is convertible at any time at Alpha’s option, into shares of the Company’s common stock at a price equal to $</w:t>
      </w:r>
      <w:bookmarkStart w:id="535" w:name="xdx_903_eus-gaap--SharePrice_iI_pid_c202"/>
      <w:bookmarkEnd w:id="535"/>
      <w:r>
        <w:rPr>
          <w:rFonts w:ascii="Times New Roman;Times;Serif" w:hAnsi="Times New Roman;Times;Serif"/>
          <w:b w:val="false"/>
          <w:i w:val="false"/>
          <w:caps w:val="false"/>
          <w:smallCaps w:val="false"/>
          <w:sz w:val="20"/>
        </w:rPr>
        <w:t>3.80 per share, subject to certain adjustments. The Convertible Note bears no interest, and the principal will be due on January 28, 2026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2025 Convertible Note does not contain a substantial premium and therefore the Company elected to account for the Convertible Note under the fair value option in accordance with ASC 825-10-15-4. The Company determined the fair value of the Convertible Note was $</w:t>
      </w:r>
      <w:bookmarkStart w:id="536" w:name="xdx_90D_eus-gaap--ConvertiblePreferredSt"/>
      <w:bookmarkEnd w:id="536"/>
      <w:r>
        <w:rPr>
          <w:rFonts w:ascii="Times New Roman;Times;Serif" w:hAnsi="Times New Roman;Times;Serif"/>
          <w:b w:val="false"/>
          <w:i w:val="false"/>
          <w:caps w:val="false"/>
          <w:smallCaps w:val="false"/>
          <w:sz w:val="20"/>
        </w:rPr>
        <w:t>311,943 at issuance. The difference between the $</w:t>
      </w:r>
      <w:bookmarkStart w:id="537" w:name="xdx_90B_eus-gaap--ProceedsFromIssuanceOf"/>
      <w:bookmarkEnd w:id="537"/>
      <w:r>
        <w:rPr>
          <w:rFonts w:ascii="Times New Roman;Times;Serif" w:hAnsi="Times New Roman;Times;Serif"/>
          <w:b w:val="false"/>
          <w:i w:val="false"/>
          <w:caps w:val="false"/>
          <w:smallCaps w:val="false"/>
          <w:sz w:val="20"/>
        </w:rPr>
        <w:t>220,000 proceeds received and fair value was recorded as a loss upon issuance in the amount of $</w:t>
      </w:r>
      <w:bookmarkStart w:id="538" w:name="xdx_902_eus-gaap--AmortizationOfFinancin"/>
      <w:bookmarkEnd w:id="538"/>
      <w:r>
        <w:rPr>
          <w:rFonts w:ascii="Times New Roman;Times;Serif" w:hAnsi="Times New Roman;Times;Serif"/>
          <w:b w:val="false"/>
          <w:i w:val="false"/>
          <w:caps w:val="false"/>
          <w:smallCaps w:val="false"/>
          <w:sz w:val="20"/>
        </w:rPr>
        <w:t>91,943. Issuance costs incurred in connection with the transaction were expensed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2025 the Company paid down $</w:t>
      </w:r>
      <w:bookmarkStart w:id="539" w:name="xdx_903_eus-gaap--DebtInstrumentFaceAmou"/>
      <w:bookmarkEnd w:id="539"/>
      <w:r>
        <w:rPr>
          <w:rFonts w:ascii="Times New Roman;Times;Serif" w:hAnsi="Times New Roman;Times;Serif"/>
          <w:b w:val="false"/>
          <w:i w:val="false"/>
          <w:caps w:val="false"/>
          <w:smallCaps w:val="false"/>
          <w:sz w:val="20"/>
        </w:rPr>
        <w:t>132,000 in principal at the request of Alpha, and on January 28, 2026 the remaining balance of $</w:t>
      </w:r>
      <w:bookmarkStart w:id="540" w:name="xdx_90E_eus-gaap--DebtInstrumentFaceAmou"/>
      <w:bookmarkEnd w:id="540"/>
      <w:r>
        <w:rPr>
          <w:rFonts w:ascii="Times New Roman;Times;Serif" w:hAnsi="Times New Roman;Times;Serif"/>
          <w:b w:val="false"/>
          <w:i w:val="false"/>
          <w:caps w:val="false"/>
          <w:smallCaps w:val="false"/>
          <w:sz w:val="20"/>
        </w:rPr>
        <w:t>132,000 was paid. As of June 30, 2026, the remaining balance was zero, with a gain on the change in fair value of $</w:t>
      </w:r>
      <w:bookmarkStart w:id="541" w:name="xdx_904_eus-gaap--GainsLossesOnExtinguis"/>
      <w:bookmarkEnd w:id="541"/>
      <w:r>
        <w:rPr>
          <w:rFonts w:ascii="Times New Roman;Times;Serif" w:hAnsi="Times New Roman;Times;Serif"/>
          <w:b w:val="false"/>
          <w:i w:val="false"/>
          <w:caps w:val="false"/>
          <w:smallCaps w:val="false"/>
          <w:sz w:val="20"/>
        </w:rPr>
        <w:t>10,236 recorded in the six months ended June 30, 2026. As of December 31, 2025 the Company reassessed the fair value of the 2025 Convertible Note at $</w:t>
      </w:r>
      <w:bookmarkStart w:id="542" w:name="xdx_903_ecustom--ChangeInFairValueOfConv"/>
      <w:bookmarkEnd w:id="542"/>
      <w:r>
        <w:rPr>
          <w:rFonts w:ascii="Times New Roman;Times;Serif" w:hAnsi="Times New Roman;Times;Serif"/>
          <w:b w:val="false"/>
          <w:i w:val="false"/>
          <w:caps w:val="false"/>
          <w:smallCaps w:val="false"/>
          <w:sz w:val="20"/>
        </w:rPr>
        <w:t>142,236, with a gain on the change in fair value of $</w:t>
      </w:r>
      <w:bookmarkStart w:id="543" w:name="xdx_908_eus-gaap--GainsLossesOnExtinguis"/>
      <w:bookmarkEnd w:id="543"/>
      <w:r>
        <w:rPr>
          <w:rFonts w:ascii="Times New Roman;Times;Serif" w:hAnsi="Times New Roman;Times;Serif"/>
          <w:b w:val="false"/>
          <w:i w:val="false"/>
          <w:caps w:val="false"/>
          <w:smallCaps w:val="false"/>
          <w:sz w:val="20"/>
        </w:rPr>
        <w:t>37,707 recorded in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4" w:name="xdx_80D_eus-gaap--ShortTermDebtTextBlock"/>
      <w:bookmarkEnd w:id="544"/>
      <w:r>
        <w:rPr>
          <w:rFonts w:ascii="Times New Roman;Times;Serif" w:hAnsi="Times New Roman;Times;Serif"/>
          <w:b/>
          <w:i w:val="false"/>
          <w:caps w:val="false"/>
          <w:smallCaps w:val="false"/>
          <w:sz w:val="20"/>
        </w:rPr>
        <w:t xml:space="preserve">NOTE 10 — </w:t>
      </w:r>
      <w:bookmarkStart w:id="545" w:name="xdx_822_zB3EyNlBWdi4"/>
      <w:bookmarkEnd w:id="545"/>
      <w:r>
        <w:rPr>
          <w:rFonts w:ascii="Times New Roman;Times;Serif" w:hAnsi="Times New Roman;Times;Serif"/>
          <w:b/>
          <w:i w:val="false"/>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short term notes payable totaling $</w:t>
      </w:r>
      <w:bookmarkStart w:id="546" w:name="xdx_902_eus-gaap--NotesPayable_iI_pn5n6_"/>
      <w:bookmarkEnd w:id="546"/>
      <w:r>
        <w:rPr>
          <w:rFonts w:ascii="Times New Roman;Times;Serif" w:hAnsi="Times New Roman;Times;Serif"/>
          <w:b w:val="false"/>
          <w:i w:val="false"/>
          <w:caps w:val="false"/>
          <w:smallCaps w:val="false"/>
          <w:sz w:val="20"/>
        </w:rPr>
        <w:t>4.4 million for total net proceeds of $</w:t>
      </w:r>
      <w:bookmarkStart w:id="547" w:name="xdx_905_eus-gaap--ProceedsFromShortTermD"/>
      <w:bookmarkEnd w:id="547"/>
      <w:r>
        <w:rPr>
          <w:rFonts w:ascii="Times New Roman;Times;Serif" w:hAnsi="Times New Roman;Times;Serif"/>
          <w:b w:val="false"/>
          <w:i w:val="false"/>
          <w:caps w:val="false"/>
          <w:smallCaps w:val="false"/>
          <w:sz w:val="20"/>
        </w:rPr>
        <w:t>3.4 million. Over the course of the year the Company repaid all notes for a total of $</w:t>
      </w:r>
      <w:bookmarkStart w:id="548" w:name="xdx_908_eus-gaap--RepaymentsOfNotesPayab"/>
      <w:bookmarkEnd w:id="548"/>
      <w:r>
        <w:rPr>
          <w:rFonts w:ascii="Times New Roman;Times;Serif" w:hAnsi="Times New Roman;Times;Serif"/>
          <w:b w:val="false"/>
          <w:i w:val="false"/>
          <w:caps w:val="false"/>
          <w:smallCaps w:val="false"/>
          <w:sz w:val="20"/>
        </w:rPr>
        <w:t>4.4 million, with the additional $</w:t>
      </w:r>
      <w:bookmarkStart w:id="549" w:name="xdx_909_eus-gaap--InterestExpenseDebt_pn"/>
      <w:bookmarkEnd w:id="549"/>
      <w:r>
        <w:rPr>
          <w:rFonts w:ascii="Times New Roman;Times;Serif" w:hAnsi="Times New Roman;Times;Serif"/>
          <w:b w:val="false"/>
          <w:i w:val="false"/>
          <w:caps w:val="false"/>
          <w:smallCaps w:val="false"/>
          <w:sz w:val="20"/>
        </w:rPr>
        <w:t>1.0 million paid as a premium to some of the lenders and was recorded under 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outstanding promissory notes outstanding as of June 30, 2026 or December 31,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0" w:name="xdx_80F_eus-gaap--EarningsPerShareTextBl"/>
      <w:bookmarkEnd w:id="550"/>
      <w:r>
        <w:rPr>
          <w:rFonts w:ascii="Times New Roman;Times;Serif" w:hAnsi="Times New Roman;Times;Serif"/>
          <w:b/>
          <w:i w:val="false"/>
          <w:caps w:val="false"/>
          <w:smallCaps w:val="false"/>
          <w:sz w:val="20"/>
        </w:rPr>
        <w:t xml:space="preserve">NOTE 11 — </w:t>
      </w:r>
      <w:bookmarkStart w:id="551" w:name="xdx_821_zoKAYwzP33Mh"/>
      <w:bookmarkEnd w:id="551"/>
      <w:r>
        <w:rPr>
          <w:rFonts w:ascii="Times New Roman;Times;Serif" w:hAnsi="Times New Roman;Times;Serif"/>
          <w:b/>
          <w:i w:val="false"/>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2" w:name="xdx_89D_eus-gaap--ScheduleOfEarningsPerS"/>
      <w:bookmarkEnd w:id="552"/>
      <w:r>
        <w:rPr>
          <w:rFonts w:ascii="Times New Roman;Times;Serif" w:hAnsi="Times New Roman;Times;Serif"/>
          <w:b w:val="false"/>
          <w:i w:val="false"/>
          <w:caps w:val="false"/>
          <w:smallCaps w:val="false"/>
          <w:sz w:val="20"/>
        </w:rPr>
        <w:t xml:space="preserve">Basic loss per share (“EPS”) is computed by dividing net loss including deemed dividends by the weighted-average number of common shares outstanding plus unexercised pre-funded warrants. Diluted EPS is computed based on the sum of the weighted-average number of common shares and potentially dilutive common shares outstanding during the period. Potentially dilutive common shares consist of shares issuable from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xml:space="preserve"> convertible debt, stock options and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3" w:name="xdx_8B0_zDzASIn9hjz1"/>
      <w:bookmarkEnd w:id="553"/>
      <w:r>
        <w:rPr>
          <w:rFonts w:ascii="Times New Roman;Times;Serif" w:hAnsi="Times New Roman;Times;Serif"/>
          <w:b w:val="false"/>
          <w:i w:val="false"/>
          <w:caps w:val="false"/>
          <w:smallCaps w:val="false"/>
          <w:sz w:val="20"/>
        </w:rPr>
        <w:t>SCHEDULE OF DILUTIVE SECURITIES EXCLUDED FROM DILUTED NET LOSS PER SHARE </w:t>
      </w:r>
    </w:p>
    <w:tbl>
      <w:tblPr>
        <w:tblW w:w="10205" w:type="dxa"/>
        <w:jc w:val="left"/>
        <w:tblInd w:w="0" w:type="dxa"/>
        <w:tblLayout w:type="fixed"/>
        <w:tblCellMar>
          <w:top w:w="0" w:type="dxa"/>
          <w:left w:w="0" w:type="dxa"/>
          <w:bottom w:w="0" w:type="dxa"/>
          <w:right w:w="0" w:type="dxa"/>
        </w:tblCellMar>
      </w:tblPr>
      <w:tblGrid>
        <w:gridCol w:w="4705"/>
        <w:gridCol w:w="60"/>
        <w:gridCol w:w="140"/>
        <w:gridCol w:w="1100"/>
        <w:gridCol w:w="95"/>
        <w:gridCol w:w="60"/>
        <w:gridCol w:w="140"/>
        <w:gridCol w:w="1055"/>
        <w:gridCol w:w="95"/>
        <w:gridCol w:w="60"/>
        <w:gridCol w:w="140"/>
        <w:gridCol w:w="1175"/>
        <w:gridCol w:w="95"/>
        <w:gridCol w:w="60"/>
        <w:gridCol w:w="60"/>
        <w:gridCol w:w="1055"/>
        <w:gridCol w:w="110"/>
      </w:tblGrid>
      <w:tr>
        <w:trPr/>
        <w:tc>
          <w:tcPr>
            <w:tcW w:w="4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4" w:name="xdx_491_20260401__20260630_zo17yhFT3W1e"/>
            <w:bookmarkEnd w:id="554"/>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5" w:name="xdx_49D_20250401__20250630_zGmidJAXaeHh"/>
            <w:bookmarkEnd w:id="555"/>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6" w:name="xdx_499_20260101__20260630_z2UCSZd6VjK3"/>
            <w:bookmarkEnd w:id="556"/>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7" w:name="xdx_498_20250101__20250630_zRHdZZEsmZq3"/>
            <w:bookmarkEnd w:id="557"/>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558" w:name="xdx_40E_eus-gaap--ProfitLoss_zt9l5BDEWSd"/>
            <w:bookmarkEnd w:id="558"/>
          </w:p>
        </w:tc>
      </w:tr>
      <w:tr>
        <w:trPr/>
        <w:tc>
          <w:tcPr>
            <w:tcW w:w="4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used for basic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(4,187,605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(1,687,003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(10,266,621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(4,331,174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9" w:name="xdx_40C_eus-gaap--WeightedAverageNumberO"/>
            <w:bookmarkEnd w:id="559"/>
          </w:p>
        </w:tc>
      </w:tr>
      <w:tr>
        <w:trPr/>
        <w:tc>
          <w:tcPr>
            <w:tcW w:w="4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20,286,192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14,030,150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1,570,925</w:t>
            </w:r>
          </w:p>
        </w:tc>
        <w:tc>
          <w:tcPr>
            <w:tcW w:w="110" w:type="dxa"/>
            <w:tcBorders/>
            <w:shd w:fill="FFFFFF" w:val="clear"/>
            <w:vAlign w:val="center"/>
          </w:tcPr>
          <w:p>
            <w:pPr>
              <w:pStyle w:val="TableContents"/>
              <w:bidi w:val="0"/>
              <w:spacing w:before="0" w:after="283"/>
              <w:jc w:val="left"/>
              <w:rPr/>
            </w:pPr>
            <w:r>
              <w:rPr/>
              <w:t> </w:t>
            </w:r>
            <w:bookmarkStart w:id="560" w:name="xdx_409_eus-gaap--WeightedAverageNumberD"/>
            <w:bookmarkEnd w:id="560"/>
          </w:p>
        </w:tc>
      </w:tr>
      <w:tr>
        <w:trPr/>
        <w:tc>
          <w:tcPr>
            <w:tcW w:w="4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Dilutive potential shares issuable from preferred stock, convertible debt, stock options and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61" w:name="xdx_407_eus-gaap--WeightedAverageNumberO"/>
            <w:bookmarkEnd w:id="561"/>
          </w:p>
        </w:tc>
      </w:tr>
      <w:tr>
        <w:trPr/>
        <w:tc>
          <w:tcPr>
            <w:tcW w:w="4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20,286,192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14,030,150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1,570,925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2" w:name="xdx_8AC_zBXE182XROmc"/>
      <w:bookmarkEnd w:id="56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3" w:name="xdx_89F_eus-gaap--ScheduleOfAntidilutive"/>
      <w:bookmarkEnd w:id="563"/>
      <w:r>
        <w:rPr>
          <w:rFonts w:ascii="Times New Roman;Times;Serif" w:hAnsi="Times New Roman;Times;Serif"/>
          <w:b w:val="false"/>
          <w:i w:val="false"/>
          <w:caps w:val="false"/>
          <w:smallCaps w:val="false"/>
          <w:sz w:val="20"/>
        </w:rPr>
        <w:t>These potentially dilutive securities have been excluded from diluted net loss per share as of June 30, 2026 and 2025 because their effect would be anti-dilutive: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4" w:name="xdx_8B2_z4NWJnhWRI3c"/>
      <w:bookmarkEnd w:id="564"/>
      <w:r>
        <w:rPr>
          <w:rFonts w:ascii="Times New Roman;Times;Serif" w:hAnsi="Times New Roman;Times;Serif"/>
          <w:b w:val="false"/>
          <w:i w:val="false"/>
          <w:caps w:val="false"/>
          <w:smallCaps w:val="false"/>
          <w:sz w:val="20"/>
        </w:rPr>
        <w:t>SCHEDULE OF POTENTIALLY DILUTIVE SECURITIES </w:t>
      </w:r>
    </w:p>
    <w:tbl>
      <w:tblPr>
        <w:tblW w:w="10205" w:type="dxa"/>
        <w:jc w:val="left"/>
        <w:tblInd w:w="0" w:type="dxa"/>
        <w:tblLayout w:type="fixed"/>
        <w:tblCellMar>
          <w:top w:w="0" w:type="dxa"/>
          <w:left w:w="0" w:type="dxa"/>
          <w:bottom w:w="0" w:type="dxa"/>
          <w:right w:w="0" w:type="dxa"/>
        </w:tblCellMar>
      </w:tblPr>
      <w:tblGrid>
        <w:gridCol w:w="8050"/>
        <w:gridCol w:w="60"/>
        <w:gridCol w:w="60"/>
        <w:gridCol w:w="980"/>
        <w:gridCol w:w="60"/>
        <w:gridCol w:w="60"/>
        <w:gridCol w:w="60"/>
        <w:gridCol w:w="800"/>
        <w:gridCol w:w="75"/>
      </w:tblGrid>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5" w:name="xdx_49D_20260101__20260630_zC17U1gtFF1k"/>
            <w:bookmarkEnd w:id="565"/>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6" w:name="xdx_491_20250101__20250630_zSDqXknen5Xk"/>
            <w:bookmarkEnd w:id="566"/>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w:t>
            </w:r>
          </w:p>
        </w:tc>
        <w:tc>
          <w:tcPr>
            <w:tcW w:w="75" w:type="dxa"/>
            <w:tcBorders/>
            <w:vAlign w:val="center"/>
          </w:tcPr>
          <w:p>
            <w:pPr>
              <w:pStyle w:val="TableContents"/>
              <w:bidi w:val="0"/>
              <w:spacing w:before="0" w:after="283"/>
              <w:jc w:val="left"/>
              <w:rPr/>
            </w:pPr>
            <w:r>
              <w:rPr/>
              <w:t> </w:t>
            </w:r>
          </w:p>
        </w:tc>
      </w:tr>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567" w:name="xdx_408_eus-gaap--AntidilutiveSecurities"/>
            <w:bookmarkEnd w:id="567"/>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common stock subject to outstanding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w:t>
            </w:r>
          </w:p>
        </w:tc>
        <w:tc>
          <w:tcPr>
            <w:tcW w:w="75" w:type="dxa"/>
            <w:tcBorders/>
            <w:shd w:fill="CCEEFF" w:val="clear"/>
            <w:vAlign w:val="center"/>
          </w:tcPr>
          <w:p>
            <w:pPr>
              <w:pStyle w:val="TableContents"/>
              <w:bidi w:val="0"/>
              <w:spacing w:before="0" w:after="283"/>
              <w:jc w:val="left"/>
              <w:rPr/>
            </w:pPr>
            <w:r>
              <w:rPr/>
              <w:t> </w:t>
            </w:r>
            <w:bookmarkStart w:id="568" w:name="xdx_407_eus-gaap--AntidilutiveSecurities"/>
            <w:bookmarkEnd w:id="568"/>
          </w:p>
        </w:tc>
      </w:tr>
      <w:tr>
        <w:trPr/>
        <w:tc>
          <w:tcPr>
            <w:tcW w:w="8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common stock subject to outstanding warrants (excluding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88,187</w:t>
            </w:r>
          </w:p>
        </w:tc>
        <w:tc>
          <w:tcPr>
            <w:tcW w:w="75" w:type="dxa"/>
            <w:tcBorders/>
            <w:shd w:fill="FFFFFF" w:val="clear"/>
            <w:vAlign w:val="center"/>
          </w:tcPr>
          <w:p>
            <w:pPr>
              <w:pStyle w:val="TableContents"/>
              <w:bidi w:val="0"/>
              <w:spacing w:before="0" w:after="283"/>
              <w:jc w:val="left"/>
              <w:rPr/>
            </w:pPr>
            <w:r>
              <w:rPr/>
              <w:t> </w:t>
            </w:r>
            <w:bookmarkStart w:id="569" w:name="xdx_400_eus-gaap--AntidilutiveSecurities"/>
            <w:bookmarkEnd w:id="569"/>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common stock subject to outstanding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819,643</w:t>
            </w:r>
          </w:p>
        </w:tc>
        <w:tc>
          <w:tcPr>
            <w:tcW w:w="75" w:type="dxa"/>
            <w:tcBorders/>
            <w:shd w:fill="CCEEFF" w:val="clear"/>
            <w:vAlign w:val="center"/>
          </w:tcPr>
          <w:p>
            <w:pPr>
              <w:pStyle w:val="TableContents"/>
              <w:bidi w:val="0"/>
              <w:spacing w:before="0" w:after="283"/>
              <w:jc w:val="left"/>
              <w:rPr/>
            </w:pPr>
            <w:r>
              <w:rPr/>
              <w:t> </w:t>
            </w:r>
            <w:bookmarkStart w:id="570" w:name="xdx_409_eus-gaap--AntidilutiveSecurities"/>
            <w:bookmarkEnd w:id="570"/>
          </w:p>
        </w:tc>
      </w:tr>
      <w:tr>
        <w:trPr/>
        <w:tc>
          <w:tcPr>
            <w:tcW w:w="8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common stock subject to outstanding convertible debt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34,737</w:t>
            </w:r>
          </w:p>
        </w:tc>
        <w:tc>
          <w:tcPr>
            <w:tcW w:w="75" w:type="dxa"/>
            <w:tcBorders/>
            <w:shd w:fill="FFFFFF" w:val="clear"/>
            <w:vAlign w:val="center"/>
          </w:tcPr>
          <w:p>
            <w:pPr>
              <w:pStyle w:val="TableContents"/>
              <w:bidi w:val="0"/>
              <w:spacing w:before="0" w:after="283"/>
              <w:jc w:val="left"/>
              <w:rPr/>
            </w:pPr>
            <w:r>
              <w:rPr/>
              <w:t> </w:t>
            </w:r>
            <w:bookmarkStart w:id="571" w:name="xdx_40C_eus-gaap--AntidilutiveSecurities"/>
            <w:bookmarkEnd w:id="571"/>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common stock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3,505,219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72" w:name="xdx_8AC_zrovPTz4umPi"/>
      <w:bookmarkEnd w:id="57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3" w:name="xdx_802_eus-gaap--CommitmentsAndContinge"/>
      <w:bookmarkEnd w:id="573"/>
      <w:r>
        <w:rPr>
          <w:rFonts w:ascii="Times New Roman;Times;Serif" w:hAnsi="Times New Roman;Times;Serif"/>
          <w:b/>
          <w:i w:val="false"/>
          <w:caps w:val="false"/>
          <w:smallCaps w:val="false"/>
          <w:sz w:val="20"/>
        </w:rPr>
        <w:t xml:space="preserve">NOTE 12 — </w:t>
      </w:r>
      <w:bookmarkStart w:id="574" w:name="xdx_82E_zi5XUWQtOKO"/>
      <w:bookmarkEnd w:id="574"/>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a special committee of the Board of Directors approved an initial advance of $</w:t>
      </w:r>
      <w:bookmarkStart w:id="575" w:name="xdx_90D_ecustom--InitialAdvance_c2026071"/>
      <w:bookmarkEnd w:id="575"/>
      <w:r>
        <w:rPr>
          <w:rFonts w:ascii="Times New Roman;Times;Serif" w:hAnsi="Times New Roman;Times;Serif"/>
          <w:b w:val="false"/>
          <w:i w:val="false"/>
          <w:caps w:val="false"/>
          <w:smallCaps w:val="false"/>
          <w:sz w:val="20"/>
        </w:rPr>
        <w:t>250,000 to Faraday Future Intelligent Electric Inc. (“FFAI”), subject to execution of definitive documentation and satisfaction of specified conditions, which the Company funded on July 20, 2026. A second advance of $</w:t>
      </w:r>
      <w:bookmarkStart w:id="576" w:name="xdx_90C_eus-gaap--DebtInstrumentPeriodic"/>
      <w:bookmarkEnd w:id="576"/>
      <w:r>
        <w:rPr>
          <w:rFonts w:ascii="Times New Roman;Times;Serif" w:hAnsi="Times New Roman;Times;Serif"/>
          <w:b w:val="false"/>
          <w:i w:val="false"/>
          <w:caps w:val="false"/>
          <w:smallCaps w:val="false"/>
          <w:sz w:val="20"/>
        </w:rPr>
        <w:t xml:space="preserve">250,000 was funded on July 30, 2026 under the same approval. The advances bear interest at </w:t>
      </w:r>
      <w:bookmarkStart w:id="577" w:name="xdx_905_eus-gaap--DebtInstrumentInterest"/>
      <w:bookmarkEnd w:id="577"/>
      <w:r>
        <w:rPr>
          <w:rFonts w:ascii="Times New Roman;Times;Serif" w:hAnsi="Times New Roman;Times;Serif"/>
          <w:b w:val="false"/>
          <w:i w:val="false"/>
          <w:caps w:val="false"/>
          <w:smallCaps w:val="false"/>
          <w:sz w:val="20"/>
        </w:rPr>
        <w:t xml:space="preserve">10% per annum, with a default rate of </w:t>
      </w:r>
      <w:bookmarkStart w:id="578" w:name="xdx_901_eus-gaap--DebtInstrumentInterest"/>
      <w:bookmarkEnd w:id="578"/>
      <w:r>
        <w:rPr>
          <w:rFonts w:ascii="Times New Roman;Times;Serif" w:hAnsi="Times New Roman;Times;Serif"/>
          <w:b w:val="false"/>
          <w:i w:val="false"/>
          <w:caps w:val="false"/>
          <w:smallCaps w:val="false"/>
          <w:sz w:val="20"/>
        </w:rPr>
        <w:t xml:space="preserve">15% per annum, are unsecured,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FFAI’s other unsecured indebtedness. Proceeds are restricted to funding a payment in connection with a sponsorship arrangement involving an affiliate of FFAI.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these financial statements, $</w:t>
      </w:r>
      <w:bookmarkStart w:id="579" w:name="xdx_903_ecustom--OutstandingAmount_c2026"/>
      <w:bookmarkEnd w:id="579"/>
      <w:r>
        <w:rPr>
          <w:rFonts w:ascii="Times New Roman;Times;Serif" w:hAnsi="Times New Roman;Times;Serif"/>
          <w:b w:val="false"/>
          <w:i w:val="false"/>
          <w:caps w:val="false"/>
          <w:smallCaps w:val="false"/>
          <w:sz w:val="20"/>
        </w:rPr>
        <w:t>500,000 was outstanding and no definitive agreement has been executed because the Company and FFAI are negotiating an uncommitted, non-revolving delayed draw credit facility providing for advances of up to $</w:t>
      </w:r>
      <w:bookmarkStart w:id="580" w:name="xdx_903_eus-gaap--PaymentsForAdvanceToAf"/>
      <w:bookmarkEnd w:id="580"/>
      <w:r>
        <w:rPr>
          <w:rFonts w:ascii="Times New Roman;Times;Serif" w:hAnsi="Times New Roman;Times;Serif"/>
          <w:b w:val="false"/>
          <w:i w:val="false"/>
          <w:caps w:val="false"/>
          <w:smallCaps w:val="false"/>
          <w:sz w:val="20"/>
        </w:rPr>
        <w:t>2,000,000 in the aggregate, with each advance subject to separate approval by the special committee. The amounts already advanced would be subsumed within this credit facility. There can be no assurance that a definitive agreement will be executed or that its final terms will be consistent with those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entered into a consulting agreement with Aibot US Operation Inc. (“Aibot”), effective July 16, 2026, pursuant to which Aibot will provide finance, capital markets, and human resources/legal coordination support services. The agreement has a one-year term ending July 15, 2027 and requires monthly consulting payments of $</w:t>
      </w:r>
      <w:bookmarkStart w:id="581" w:name="xdx_905_ecustom--ConsultingPayments_c202"/>
      <w:bookmarkEnd w:id="581"/>
      <w:r>
        <w:rPr>
          <w:rFonts w:ascii="Times New Roman;Times;Serif" w:hAnsi="Times New Roman;Times;Serif"/>
          <w:b w:val="false"/>
          <w:i w:val="false"/>
          <w:caps w:val="false"/>
          <w:smallCaps w:val="false"/>
          <w:sz w:val="20"/>
        </w:rPr>
        <w:t>50,000, plus reimbursement of certain approved out-of-pocket expenses. The aggregate contractual commitment under the agreement is approximately $</w:t>
      </w:r>
      <w:bookmarkStart w:id="582" w:name="xdx_908_ecustom--ReimbursableExpenses_c2"/>
      <w:bookmarkEnd w:id="582"/>
      <w:r>
        <w:rPr>
          <w:rFonts w:ascii="Times New Roman;Times;Serif" w:hAnsi="Times New Roman;Times;Serif"/>
          <w:b w:val="false"/>
          <w:i w:val="false"/>
          <w:caps w:val="false"/>
          <w:smallCaps w:val="false"/>
          <w:sz w:val="20"/>
        </w:rPr>
        <w:t>600,000 over the initial term, excluding reimbursable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bookmarkStart w:id="583" w:name="xdx_80E_ecustom--ResearchAndLicenseAgree"/>
      <w:bookmarkEnd w:id="583"/>
      <w:r>
        <w:rPr>
          <w:rFonts w:ascii="Times New Roman;Times;Serif" w:hAnsi="Times New Roman;Times;Serif"/>
          <w:b/>
          <w:i w:val="false"/>
          <w:caps w:val="false"/>
          <w:smallCaps w:val="false"/>
          <w:sz w:val="20"/>
        </w:rPr>
        <w:t xml:space="preserve">NOTE 13 — </w:t>
      </w:r>
      <w:bookmarkStart w:id="584" w:name="xdx_820_zyMEmM1OnK8l"/>
      <w:bookmarkEnd w:id="584"/>
      <w:r>
        <w:rPr>
          <w:rFonts w:ascii="Times New Roman;Times;Serif" w:hAnsi="Times New Roman;Times;Serif"/>
          <w:b/>
          <w:i w:val="false"/>
          <w:caps w:val="false"/>
          <w:smallCaps w:val="false"/>
          <w:sz w:val="20"/>
        </w:rPr>
        <w:t>RESEARCH AND LICENSE AGREEMENTS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UCL Business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Company entered into a License Agreement with UCL Business Limited (“UCLB”) to obtain an exclusive worldwide in-license of a genomic quadruplex (G4)-selective transcription inhibitor drug development program which had been developed at University College London, including lead and back-up compounds, preclinical data and a patent estate. (UCLB is the commercialization company for University College London.) The program’s lead compound is now being developed at the Company under the name QN-302 as a candidate for treatment for pancreatic ductal adenocarcinoma, which represents the vast majority of pancreatic cancers. The License Agreement required a $</w:t>
      </w:r>
      <w:bookmarkStart w:id="585" w:name="xdx_90F_ecustom--ReimbursementOfPatent_c"/>
      <w:bookmarkEnd w:id="585"/>
      <w:r>
        <w:rPr>
          <w:rFonts w:ascii="Times New Roman;Times;Serif" w:hAnsi="Times New Roman;Times;Serif"/>
          <w:b w:val="false"/>
          <w:i w:val="false"/>
          <w:caps w:val="false"/>
          <w:smallCaps w:val="false"/>
          <w:sz w:val="20"/>
        </w:rPr>
        <w:t>150,000 upfront payment, reimbursement of past patent prosecution expenses (approximately $</w:t>
      </w:r>
      <w:bookmarkStart w:id="586" w:name="xdx_90C_ecustom--ReimbursementOfPatent_c"/>
      <w:bookmarkEnd w:id="586"/>
      <w:r>
        <w:rPr>
          <w:rFonts w:ascii="Times New Roman;Times;Serif" w:hAnsi="Times New Roman;Times;Serif"/>
          <w:b w:val="false"/>
          <w:i w:val="false"/>
          <w:caps w:val="false"/>
          <w:smallCaps w:val="false"/>
          <w:sz w:val="20"/>
        </w:rPr>
        <w:t>160,000), and (if and when applicable) tiered royalty payments in the low to mid-single digits, clinical/regulatory/sales milestone payments and a percentage of any non-royalty sublicensing consideration paid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the Board of Directors approved the discontinuation and structured wind-down of the Company’s legacy biotechnology business segment following management’s evaluation of strategic alternatives for the segment, including a potential sale of the business. In connection with the wind-down of its legacy biotechnology business, the Company entered into a Deed of Termination and concurrent Assignment Agreement with UCLB, each effective July 9, 2026, pursuant to which: (i) the license agreement dated January 13, 2022, as amended, relating to G-Quadruplex binding molecules and the QN-302 program, was terminated in its entirety; and (ii) the Company assigned to UCLB all related intellectual property rights, including pre-clinical and clinical data, regulatory submissions, and the Investigational New Drug Application filed with the FDA, for a nominal consideration of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587" w:name="xdx_90E_eus-gaap--DirectTaxesAndLicenses"/>
      <w:bookmarkStart w:id="588" w:name="xdx_90B_eus-gaap--DirectTaxesAndLicenses"/>
      <w:bookmarkEnd w:id="587"/>
      <w:bookmarkEnd w:id="588"/>
      <w:r>
        <w:rPr>
          <w:rFonts w:ascii="Times New Roman;Times;Serif" w:hAnsi="Times New Roman;Times;Serif"/>
          <w:b w:val="false"/>
          <w:i w:val="false"/>
          <w:caps w:val="false"/>
          <w:smallCaps w:val="false"/>
          <w:sz w:val="20"/>
        </w:rPr>
        <w:t>no license costs recorded related to this agreement during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QN-302 Phase 1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entered into a Master Clinical Research Services Agreement with Translational Drug Development, LLC (“TD2”) whereby TD2 agreed to perform certain clinical research and development services for the Company including but not limited to trial management, side identification and selection, site monitoring/management, medical monitoring, project management, data collection, statistical programming or analysis, quality assurance auditing, scientific and medical communications, regulatory affairs consulting and submissions, strategic consulting, and/or other related services. From time to time, the Company may enter into statements of work with TD2 for the performance of specific services under this Master Clinical Research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entered into a Master Laboratory Services Agreement with MLM Medical Labs, LLC (“MLM”) whereby MLM agreed to perform certain clinical research and development services for the Company including but not limited to laboratory, supply, testing, validation, data management, and storage services. From time to time, the Company may enter into work orders with MLM for the performance of specific services under this Master Laboratory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entered into a Master Services Agreement with Clinigen Clinical Supplies Management, Inc. (“Clinigen”) whereby Clinigen agreed to provide certain pharmaceutical products and/or services. From time to time, the Company may enter into statements of work with Clinigen for the performance of specific services under this Master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pursuant to the above agreements, the Company entered into work orders and statements of work for clinical trial services for the conduct of the QN-302 Phase 1 study. Given our financial situation, the company slowed the development of the QN-302 Phase 1 Study beginning in the second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the Board of Directors approved the discontinuation and structured wind-down of the Company’s legacy biotechnology business segment following management’s evaluation of strategic alternatives for the segment, including a potential sale of the business. The QN-302 Phase 1 study is included within the scope of this discontinued legacy biotechnology business wind-down, and no further developments related to this clinical program have occurred as of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Marizyme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11, 2024, the Company entered into a Co-Development Agreement with Marizyme, Inc. (the “Co-Development Agreement”), </w:t>
      </w:r>
      <w:bookmarkStart w:id="589" w:name="xdx_90E_eus-gaap--ResearchAndDevelopment"/>
      <w:bookmarkEnd w:id="589"/>
      <w:r>
        <w:rPr>
          <w:rFonts w:ascii="Times New Roman;Times;Serif" w:hAnsi="Times New Roman;Times;Serif"/>
          <w:b w:val="false"/>
          <w:i w:val="false"/>
          <w:caps w:val="false"/>
          <w:smallCaps w:val="false"/>
          <w:sz w:val="20"/>
        </w:rPr>
        <w:t>which has subsequently been amended. Under the terms of the Co-Development Agreement, the Company committed to provide funding payments to Marizyme and pay a one-time exclusivity fee of $</w:t>
      </w:r>
      <w:bookmarkStart w:id="590" w:name="xdx_905_eus-gaap--DebtInstrumentFeeAmoun"/>
      <w:bookmarkEnd w:id="590"/>
      <w:r>
        <w:rPr>
          <w:rFonts w:ascii="Times New Roman;Times;Serif" w:hAnsi="Times New Roman;Times;Serif"/>
          <w:b w:val="false"/>
          <w:i w:val="false"/>
          <w:caps w:val="false"/>
          <w:smallCaps w:val="false"/>
          <w:sz w:val="20"/>
        </w:rPr>
        <w:t>200,000. The $</w:t>
      </w:r>
      <w:bookmarkStart w:id="591" w:name="xdx_903_eus-gaap--DebtInstrumentFeeAmoun"/>
      <w:bookmarkEnd w:id="591"/>
      <w:r>
        <w:rPr>
          <w:rFonts w:ascii="Times New Roman;Times;Serif" w:hAnsi="Times New Roman;Times;Serif"/>
          <w:b w:val="false"/>
          <w:i w:val="false"/>
          <w:caps w:val="false"/>
          <w:smallCaps w:val="false"/>
          <w:sz w:val="20"/>
        </w:rPr>
        <w:t>200,000 exclusivity fee and an initial $</w:t>
      </w:r>
      <w:bookmarkStart w:id="592" w:name="xdx_903_eus-gaap--DebtInstrumentFaceAmou"/>
      <w:bookmarkEnd w:id="592"/>
      <w:r>
        <w:rPr>
          <w:rFonts w:ascii="Times New Roman;Times;Serif" w:hAnsi="Times New Roman;Times;Serif"/>
          <w:b w:val="false"/>
          <w:i w:val="false"/>
          <w:caps w:val="false"/>
          <w:smallCaps w:val="false"/>
          <w:sz w:val="20"/>
        </w:rPr>
        <w:t>500,000 funding payment were remitted to Marizyme on April 12, 2024, and both amounts were recorded within research and development expenses on the unaudited condensed consolidated statements of operations and other comprehensive loss in the respective periods of payment. The exclusivity fee granted the Company an exclusive negotiating window through May 31, 2024 to negotiate a comprehensive strategic partnership covering Marizyme’s DuraGraft product line. The funding payments proceeds were intended to financially support the commercial rollout of Marizyme’s DuraGraft™ vascular conduit system, a device indicated for adult patients receiving coronary artery bypass graft surgery, used for flushing and preserving saphenous vein grafts for such procedures. In exchange for the funding contributions, the Company is entitled to quarterly revenue-based payments analogous to royalties equal to 33% of DuraGraft Net Sales (Net Sales defined consistently with gross profit derived from net product sales). The aggregate maximum amount of these royalty-like payments is capped at twice the total funding advanced by the Company. No royalty-like obligations accrue to Marizyme, and no payments to the Company are required, until two thresholds are satisfied: DuraGraft achieves commercial launch in the United States, and cumulative U.S. Net Sales of DuraGraft reach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June 30, 2026 and 2025, neither of the above triggering conditions had been satisfied, and no royalty-related payments were payable or receivable by the Company. Separately, in May 2026, the Company completed the sale and full assignment of all its outstanding loan and creditor interests in Marizyme pursuant to a Note Purchase Agreement dated May 12, 2026; this divestiture of debt claims does not alter the Company’s contractual rights under the Co-Development Agreement, including its right to future royalty-style payments once the contractual sales and launch milestones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3" w:name="xdx_80C_eus-gaap--StockholdersEquityNote"/>
      <w:bookmarkEnd w:id="593"/>
      <w:r>
        <w:rPr>
          <w:rFonts w:ascii="Times New Roman;Times;Serif" w:hAnsi="Times New Roman;Times;Serif"/>
          <w:b/>
          <w:i w:val="false"/>
          <w:caps w:val="false"/>
          <w:smallCaps w:val="false"/>
          <w:sz w:val="20"/>
        </w:rPr>
        <w:t xml:space="preserve">NOTE 14 — </w:t>
      </w:r>
      <w:bookmarkStart w:id="594" w:name="xdx_827_zfhaLjhSGVq"/>
      <w:bookmarkEnd w:id="594"/>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the Company had two classes of authorized capital stock: common stock and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generally vote as a class with the holders of the preferred stock and are entitled to one vote for each share held. Subject to the rights of the holders of the preferred stock to receive preferential dividends, the holders of common stock are entitled to receive dividends when and if declared by the Board of Directors. Following payment of the liquidation preference of the preferred stock, any remaining assets will be distributed ratably among the holders of the common stock and, on an as-if-converted basis, the holders of any preferred stock upon liquidation, dissolution or winding up of the affairs of the Company. The holders of common stock have no preemptive, subscription or conversion rights and there are no redemption or sinking fund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2026 the Company has reserved </w:t>
      </w:r>
      <w:bookmarkStart w:id="595" w:name="xdx_90A_eus-gaap--CommonStockCapitalShar"/>
      <w:bookmarkEnd w:id="595"/>
      <w:r>
        <w:rPr>
          <w:rFonts w:ascii="Times New Roman;Times;Serif" w:hAnsi="Times New Roman;Times;Serif"/>
          <w:b w:val="false"/>
          <w:i w:val="false"/>
          <w:caps w:val="false"/>
          <w:smallCaps w:val="false"/>
          <w:sz w:val="20"/>
        </w:rPr>
        <w:t>4,203,443 shares of authorized but unissued common stock for possible future issuance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6" w:name="xdx_8BE_zdBeI0SEWxC4"/>
      <w:bookmarkStart w:id="597" w:name="xdx_898_eus-gaap--ScheduleOfWeightedAver"/>
      <w:bookmarkEnd w:id="596"/>
      <w:bookmarkEnd w:id="597"/>
      <w:r>
        <w:rPr>
          <w:rFonts w:ascii="Times New Roman;Times;Serif" w:hAnsi="Times New Roman;Times;Serif"/>
          <w:b w:val="false"/>
          <w:i w:val="false"/>
          <w:caps w:val="false"/>
          <w:smallCaps w:val="false"/>
          <w:sz w:val="20"/>
        </w:rPr>
        <w:t>SCHEDULE OF RESERVED SHARES </w:t>
      </w:r>
    </w:p>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305"/>
        <w:gridCol w:w="60"/>
        <w:gridCol w:w="60"/>
        <w:gridCol w:w="845"/>
        <w:gridCol w:w="75"/>
      </w:tblGrid>
      <w:tr>
        <w:trPr/>
        <w:tc>
          <w:tcPr>
            <w:tcW w:w="33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8" w:name="xdx_496_20260630_ze9pagLF65e3"/>
            <w:bookmarkEnd w:id="598"/>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9" w:name="xdx_409_eus-gaap--CommonStockCapitalShar"/>
            <w:bookmarkEnd w:id="599"/>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Series A-2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267,587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00" w:name="xdx_403_eus-gaap--CommonStockCapitalShar"/>
            <w:bookmarkEnd w:id="600"/>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Series B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2,709,261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1" w:name="xdx_402_eus-gaap--CommonStockCapitalShar"/>
            <w:bookmarkEnd w:id="601"/>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1,226,595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02" w:name="xdx_407_eus-gaap--CommonStockCapitalShar"/>
            <w:bookmarkEnd w:id="602"/>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4,203,443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03" w:name="xdx_8A0_zuTUoIXSkQfi"/>
      <w:bookmarkEnd w:id="60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Faraday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Note 1 – Business and Summary of Significant Accounting Policies and Estimates, on September 29, 2025, the Company consummated the Subscription Agreement with certain investors, including Faraday pursuant to which the Company issued and sold </w:t>
      </w:r>
      <w:bookmarkStart w:id="604" w:name="xdx_906_eus-gaap--SaleOfStockNumberOfSha"/>
      <w:bookmarkEnd w:id="604"/>
      <w:r>
        <w:rPr>
          <w:rFonts w:ascii="Times New Roman;Times;Serif" w:hAnsi="Times New Roman;Times;Serif"/>
          <w:b w:val="false"/>
          <w:i w:val="false"/>
          <w:caps w:val="false"/>
          <w:smallCaps w:val="false"/>
          <w:sz w:val="20"/>
        </w:rPr>
        <w:t xml:space="preserve">337,432 shares of the Company’s common stock and issued </w:t>
      </w:r>
      <w:bookmarkStart w:id="605" w:name="xdx_90E_eus-gaap--SaleOfStockNumberOfSha"/>
      <w:bookmarkEnd w:id="605"/>
      <w:r>
        <w:rPr>
          <w:rFonts w:ascii="Times New Roman;Times;Serif" w:hAnsi="Times New Roman;Times;Serif"/>
          <w:b w:val="false"/>
          <w:i w:val="false"/>
          <w:caps w:val="false"/>
          <w:smallCaps w:val="false"/>
          <w:sz w:val="20"/>
        </w:rPr>
        <w:t>100,000 to the Company’s legal firm . The purchase price of the common stock was $</w:t>
      </w:r>
      <w:bookmarkStart w:id="606" w:name="xdx_90D_eus-gaap--SaleOfStockPricePerSha"/>
      <w:bookmarkEnd w:id="606"/>
      <w:r>
        <w:rPr>
          <w:rFonts w:ascii="Times New Roman;Times;Serif" w:hAnsi="Times New Roman;Times;Serif"/>
          <w:b w:val="false"/>
          <w:i w:val="false"/>
          <w:caps w:val="false"/>
          <w:smallCaps w:val="false"/>
          <w:sz w:val="20"/>
        </w:rPr>
        <w:t>2.246 per share for an aggregate $</w:t>
      </w:r>
      <w:bookmarkStart w:id="607" w:name="xdx_901_eus-gaap--SaleOfStockConsiderati"/>
      <w:bookmarkEnd w:id="607"/>
      <w:r>
        <w:rPr>
          <w:rFonts w:ascii="Times New Roman;Times;Serif" w:hAnsi="Times New Roman;Times;Serif"/>
          <w:b w:val="false"/>
          <w:i w:val="false"/>
          <w:caps w:val="false"/>
          <w:smallCaps w:val="false"/>
          <w:sz w:val="20"/>
        </w:rPr>
        <w:t>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in connection with the closing of the Subscription Agreement, the Company issued </w:t>
      </w:r>
      <w:bookmarkStart w:id="608" w:name="xdx_90E_eus-gaap--SaleOfStockNumberOfSha"/>
      <w:bookmarkEnd w:id="608"/>
      <w:r>
        <w:rPr>
          <w:rFonts w:ascii="Times New Roman;Times;Serif" w:hAnsi="Times New Roman;Times;Serif"/>
          <w:b w:val="false"/>
          <w:i w:val="false"/>
          <w:caps w:val="false"/>
          <w:smallCaps w:val="false"/>
          <w:sz w:val="20"/>
        </w:rPr>
        <w:t xml:space="preserve">60,257 shares of common stock as compensation to its advisor which has been accounted for under ASC 718 </w:t>
      </w:r>
      <w:r>
        <w:rPr>
          <w:rFonts w:ascii="Times New Roman;Times;Serif" w:hAnsi="Times New Roman;Times;Serif"/>
          <w:b w:val="false"/>
          <w:i/>
          <w:caps w:val="false"/>
          <w:smallCaps w:val="false"/>
          <w:sz w:val="20"/>
        </w:rPr>
        <w:t xml:space="preserve">Compensation—Stock Compensation </w:t>
      </w:r>
      <w:r>
        <w:rPr>
          <w:rFonts w:ascii="Times New Roman;Times;Serif" w:hAnsi="Times New Roman;Times;Serif"/>
          <w:b w:val="false"/>
          <w:i w:val="false"/>
          <w:caps w:val="false"/>
          <w:smallCaps w:val="false"/>
          <w:sz w:val="20"/>
        </w:rPr>
        <w:t>(See Note 1 – Organization and Summary of Significant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in connection with the closing of the Subscription Agreement, </w:t>
      </w:r>
      <w:bookmarkStart w:id="609" w:name="xdx_906_eus-gaap--ClassOfWarrantOrRightN"/>
      <w:bookmarkEnd w:id="609"/>
      <w:r>
        <w:rPr>
          <w:rFonts w:ascii="Times New Roman;Times;Serif" w:hAnsi="Times New Roman;Times;Serif"/>
          <w:b w:val="false"/>
          <w:i w:val="false"/>
          <w:caps w:val="false"/>
          <w:smallCaps w:val="false"/>
          <w:sz w:val="20"/>
        </w:rPr>
        <w:t>1,087,266 warrants were issued to the placement agent, (the “Placement Agent Warrants”). The Placement Agent Warrants were immediately exercisable and have an initial exercise price of $</w:t>
      </w:r>
      <w:bookmarkStart w:id="610" w:name="xdx_90B_eus-gaap--ClassOfWarrantOrRightE"/>
      <w:bookmarkEnd w:id="610"/>
      <w:r>
        <w:rPr>
          <w:rFonts w:ascii="Times New Roman;Times;Serif" w:hAnsi="Times New Roman;Times;Serif"/>
          <w:b w:val="false"/>
          <w:i w:val="false"/>
          <w:caps w:val="false"/>
          <w:smallCaps w:val="false"/>
          <w:sz w:val="20"/>
        </w:rPr>
        <w:t xml:space="preserve">2.47 per share. At June 30, 2026, </w:t>
      </w:r>
      <w:bookmarkStart w:id="611" w:name="xdx_900_eus-gaap--ClassOfWarrantOrRightO"/>
      <w:bookmarkEnd w:id="611"/>
      <w:r>
        <w:rPr>
          <w:rFonts w:ascii="Times New Roman;Times;Serif" w:hAnsi="Times New Roman;Times;Serif"/>
          <w:b w:val="false"/>
          <w:i w:val="false"/>
          <w:caps w:val="false"/>
          <w:smallCaps w:val="false"/>
          <w:sz w:val="20"/>
        </w:rPr>
        <w:t>1,087,266 Placement Agent Warrants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Common Stock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the Company entered into a Common Stock Purchase Agreement (the “Common Stock Purchase Agreement”) with Horberg Enterprises LP (the “Investor”), pursuant to which the Company in its sole discretion has the right, but not the obligation, to issue and sell to the Investor up to $</w:t>
      </w:r>
      <w:bookmarkStart w:id="612" w:name="xdx_900_eus-gaap--SaleOfStockConsiderati"/>
      <w:bookmarkEnd w:id="612"/>
      <w:r>
        <w:rPr>
          <w:rFonts w:ascii="Times New Roman;Times;Serif" w:hAnsi="Times New Roman;Times;Serif"/>
          <w:b w:val="false"/>
          <w:i w:val="false"/>
          <w:caps w:val="false"/>
          <w:smallCaps w:val="false"/>
          <w:sz w:val="20"/>
        </w:rPr>
        <w:t>10.0 million of the Company’s common stock, from time to time beginning on the Commencement Date, as discussed below, subject to certain limitations and conditions detailed in the Common Stock Purchase Agreement. The Company is not obligated to sell any shares to the Investor under the Common Stock Purchase Agreement; sales and timing of any sales of the Company’s common stock are solely at the Company’s election. In accordance with the terms of the Common Stock Purchase Agreement, the Commencement Date is subject to certain conditions, including the effectiveness of a registration statement on Form S-1 or a similar prospectus permitting the Investor to offer and resell the shares of common stock acquired under the Common Stock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upfront fees were paid to the Investor at the execution of the arrangement. As of June 30, 2026, no registration statement had been filed and thus the Commencement Date permitting the sale of shares under the Common Stock Purchase Agreement had not yet occurred.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Common Stock Purchase Agreement under ASC 815-40 </w:t>
      </w:r>
      <w:r>
        <w:rPr>
          <w:rFonts w:ascii="Times New Roman;Times;Serif" w:hAnsi="Times New Roman;Times;Serif"/>
          <w:b w:val="false"/>
          <w:i/>
          <w:caps w:val="false"/>
          <w:smallCaps w:val="false"/>
          <w:sz w:val="20"/>
        </w:rPr>
        <w:t>Derivatives and Hedging-Contracts on an Entity’s Own Equity</w:t>
      </w:r>
      <w:r>
        <w:rPr>
          <w:rFonts w:ascii="Times New Roman;Times;Serif" w:hAnsi="Times New Roman;Times;Serif"/>
          <w:b w:val="false"/>
          <w:i w:val="false"/>
          <w:caps w:val="false"/>
          <w:smallCaps w:val="false"/>
          <w:sz w:val="20"/>
        </w:rPr>
        <w:t xml:space="preserve"> as it represents the right to require the Investor to purchase shares of Common Stock in the future, similar to a put option. The Company concluded the Common Stock Purchase Agreement represents a freestanding derivative instrument that does not qualify for equity classification and therefore requires fair value accounting. The Company analyzed the terms of the contract and concluded the derivative instrument had no value at inception, as of June 30, 2026, or as of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a total of </w:t>
      </w:r>
      <w:bookmarkStart w:id="613" w:name="xdx_906_eus-gaap--PreferredStockSharesAu"/>
      <w:bookmarkEnd w:id="613"/>
      <w:r>
        <w:rPr>
          <w:rFonts w:ascii="Times New Roman;Times;Serif" w:hAnsi="Times New Roman;Times;Serif"/>
          <w:b w:val="false"/>
          <w:i w:val="false"/>
          <w:caps w:val="false"/>
          <w:smallCaps w:val="false"/>
          <w:sz w:val="20"/>
        </w:rPr>
        <w:t xml:space="preserve">15,000,000 shares of Preferred Stock authorized, of which </w:t>
      </w:r>
      <w:bookmarkStart w:id="614" w:name="xdx_90D_eus-gaap--PreferredStockSharesAu"/>
      <w:bookmarkEnd w:id="614"/>
      <w:r>
        <w:rPr>
          <w:rFonts w:ascii="Times New Roman;Times;Serif" w:hAnsi="Times New Roman;Times;Serif"/>
          <w:b w:val="false"/>
          <w:i w:val="false"/>
          <w:caps w:val="false"/>
          <w:smallCaps w:val="false"/>
          <w:sz w:val="20"/>
        </w:rPr>
        <w:t xml:space="preserve">7,000 shares are designated as Series A-2 Preferred Stock, </w:t>
      </w:r>
      <w:bookmarkStart w:id="615" w:name="xdx_905_eus-gaap--PreferredStockSharesAu"/>
      <w:bookmarkEnd w:id="615"/>
      <w:r>
        <w:rPr>
          <w:rFonts w:ascii="Times New Roman;Times;Serif" w:hAnsi="Times New Roman;Times;Serif"/>
          <w:b w:val="false"/>
          <w:i w:val="false"/>
          <w:caps w:val="false"/>
          <w:smallCaps w:val="false"/>
          <w:sz w:val="20"/>
        </w:rPr>
        <w:t xml:space="preserve">10,000 shares are designed as Series A-3 Preferred Stock, and to </w:t>
      </w:r>
      <w:bookmarkStart w:id="616" w:name="xdx_90A_eus-gaap--PreferredStockSharesAu"/>
      <w:bookmarkEnd w:id="616"/>
      <w:r>
        <w:rPr>
          <w:rFonts w:ascii="Times New Roman;Times;Serif" w:hAnsi="Times New Roman;Times;Serif"/>
          <w:b w:val="false"/>
          <w:i w:val="false"/>
          <w:caps w:val="false"/>
          <w:smallCaps w:val="false"/>
          <w:sz w:val="20"/>
        </w:rPr>
        <w:t>500,000 shares are designated as Series B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Note 1 – Organization and Summary of Significant Accounting Policies and Estimates, on September 29, 2025, the Company consummated the Subscription Agreement pursuant to which the Company issued </w:t>
      </w:r>
      <w:bookmarkStart w:id="617" w:name="xdx_905_eus-gaap--SaleOfStockNumberOfSha"/>
      <w:bookmarkEnd w:id="617"/>
      <w:r>
        <w:rPr>
          <w:rFonts w:ascii="Times New Roman;Times;Serif" w:hAnsi="Times New Roman;Times;Serif"/>
          <w:b w:val="false"/>
          <w:i w:val="false"/>
          <w:caps w:val="false"/>
          <w:smallCaps w:val="false"/>
          <w:sz w:val="20"/>
        </w:rPr>
        <w:t>39,943 shares of the newly designated Series B Preferred Stock, for $</w:t>
      </w:r>
      <w:bookmarkStart w:id="618" w:name="xdx_90B_eus-gaap--SharesIssuedPricePerSh"/>
      <w:bookmarkEnd w:id="618"/>
      <w:r>
        <w:rPr>
          <w:rFonts w:ascii="Times New Roman;Times;Serif" w:hAnsi="Times New Roman;Times;Serif"/>
          <w:b w:val="false"/>
          <w:i w:val="false"/>
          <w:caps w:val="false"/>
          <w:smallCaps w:val="false"/>
          <w:sz w:val="20"/>
        </w:rPr>
        <w:t>1,000 per share, for aggregate gross proceeds of approximately $</w:t>
      </w:r>
      <w:bookmarkStart w:id="619" w:name="xdx_907_eus-gaap--ProceedsFromIssuanceOf"/>
      <w:bookmarkEnd w:id="619"/>
      <w:r>
        <w:rPr>
          <w:rFonts w:ascii="Times New Roman;Times;Serif" w:hAnsi="Times New Roman;Times;Serif"/>
          <w:b w:val="false"/>
          <w:i w:val="false"/>
          <w:caps w:val="false"/>
          <w:smallCaps w:val="false"/>
          <w:sz w:val="20"/>
        </w:rPr>
        <w:t>39.9 million, before deducting placement agent fees and other offering expenses. This offering triggered a down-round provision of the Series A-2 Convertible Preferred Stock and Series A-3 Convertible Preferred Stock, as described further below, which resulted in a lower conversion price. As a result, the Company recorded a $</w:t>
      </w:r>
      <w:bookmarkStart w:id="620" w:name="xdx_907_ecustom--ChangesInFairValueOfDee"/>
      <w:bookmarkEnd w:id="620"/>
      <w:r>
        <w:rPr>
          <w:rFonts w:ascii="Times New Roman;Times;Serif" w:hAnsi="Times New Roman;Times;Serif"/>
          <w:b w:val="false"/>
          <w:i w:val="false"/>
          <w:caps w:val="false"/>
          <w:smallCaps w:val="false"/>
          <w:sz w:val="20"/>
        </w:rPr>
        <w:t>2.0 million deemed dividend in the amount equal to the change in fair value of the abovementioned series of convertible preferred stock before and after the anti-dilution adjustment.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28, 2025, in a private placement transaction, the Company sold and issued to certain institutional and accredited investors </w:t>
      </w:r>
      <w:bookmarkStart w:id="621" w:name="xdx_90D_eus-gaap--SaleOfStockNumberOfSha"/>
      <w:bookmarkEnd w:id="621"/>
      <w:r>
        <w:rPr>
          <w:rFonts w:ascii="Times New Roman;Times;Serif" w:hAnsi="Times New Roman;Times;Serif"/>
          <w:b w:val="false"/>
          <w:i w:val="false"/>
          <w:caps w:val="false"/>
          <w:smallCaps w:val="false"/>
          <w:sz w:val="20"/>
        </w:rPr>
        <w:t>4,500 shares of Series A-3 Convertible Preferred Stock, par value $</w:t>
      </w:r>
      <w:bookmarkStart w:id="622" w:name="xdx_904_eus-gaap--PreferredStockParOrSta"/>
      <w:bookmarkEnd w:id="622"/>
      <w:r>
        <w:rPr>
          <w:rFonts w:ascii="Times New Roman;Times;Serif" w:hAnsi="Times New Roman;Times;Serif"/>
          <w:b w:val="false"/>
          <w:i w:val="false"/>
          <w:caps w:val="false"/>
          <w:smallCaps w:val="false"/>
          <w:sz w:val="20"/>
        </w:rPr>
        <w:t>0.001 per share, (the “Series A-3 Preferred Stock”), at a purchase price of $</w:t>
      </w:r>
      <w:bookmarkStart w:id="623" w:name="xdx_902_eus-gaap--SharesIssuedPricePerSh"/>
      <w:bookmarkEnd w:id="623"/>
      <w:r>
        <w:rPr>
          <w:rFonts w:ascii="Times New Roman;Times;Serif" w:hAnsi="Times New Roman;Times;Serif"/>
          <w:b w:val="false"/>
          <w:i w:val="false"/>
          <w:caps w:val="false"/>
          <w:smallCaps w:val="false"/>
          <w:sz w:val="20"/>
        </w:rPr>
        <w:t>1,000 per share, for aggregate gross proceeds of approximately $</w:t>
      </w:r>
      <w:bookmarkStart w:id="624" w:name="xdx_90A_eus-gaap--ProceedsFromIssuanceOf"/>
      <w:bookmarkEnd w:id="624"/>
      <w:r>
        <w:rPr>
          <w:rFonts w:ascii="Times New Roman;Times;Serif" w:hAnsi="Times New Roman;Times;Serif"/>
          <w:b w:val="false"/>
          <w:i w:val="false"/>
          <w:caps w:val="false"/>
          <w:smallCaps w:val="false"/>
          <w:sz w:val="20"/>
        </w:rPr>
        <w:t>4.5 million before deducting placement agent fees and offering expenses of $</w:t>
      </w:r>
      <w:bookmarkStart w:id="625" w:name="xdx_906_eus-gaap--NoninterestExpenseOffe"/>
      <w:bookmarkEnd w:id="625"/>
      <w:r>
        <w:rPr>
          <w:rFonts w:ascii="Times New Roman;Times;Serif" w:hAnsi="Times New Roman;Times;Serif"/>
          <w:b w:val="false"/>
          <w:i w:val="false"/>
          <w:caps w:val="false"/>
          <w:smallCaps w:val="false"/>
          <w:sz w:val="20"/>
        </w:rPr>
        <w:t>0.2 million, resulting in net proceeds of $</w:t>
      </w:r>
      <w:bookmarkStart w:id="626" w:name="xdx_901_eus-gaap--ProceedsFromIssuanceOr"/>
      <w:bookmarkEnd w:id="626"/>
      <w:r>
        <w:rPr>
          <w:rFonts w:ascii="Times New Roman;Times;Serif" w:hAnsi="Times New Roman;Times;Serif"/>
          <w:b w:val="false"/>
          <w:i w:val="false"/>
          <w:caps w:val="false"/>
          <w:smallCaps w:val="false"/>
          <w:sz w:val="20"/>
        </w:rPr>
        <w:t>4.3 million. This offering triggered a down-round provision of the Series A-2 Convertible Preferred stock, as described further below, which resulted in a lower conversion price. As a result, the Company recorded a $</w:t>
      </w:r>
      <w:bookmarkStart w:id="627" w:name="xdx_909_ecustom--ChangesInFairValueOfDee"/>
      <w:bookmarkEnd w:id="627"/>
      <w:r>
        <w:rPr>
          <w:rFonts w:ascii="Times New Roman;Times;Serif" w:hAnsi="Times New Roman;Times;Serif"/>
          <w:b w:val="false"/>
          <w:i w:val="false"/>
          <w:caps w:val="false"/>
          <w:smallCaps w:val="false"/>
          <w:sz w:val="20"/>
        </w:rPr>
        <w:t>0.6 million deemed dividend in the amount equal to the change in fair value of the aforementioned series of convertible preferred stock before and after the anti-dilution adjustment.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20, 2024 in a private placement transaction, the Company sold and issued to certain institutional and accredited investors </w:t>
      </w:r>
      <w:bookmarkStart w:id="628" w:name="xdx_903_eus-gaap--SaleOfStockNumberOfSha"/>
      <w:bookmarkEnd w:id="628"/>
      <w:r>
        <w:rPr>
          <w:rFonts w:ascii="Times New Roman;Times;Serif" w:hAnsi="Times New Roman;Times;Serif"/>
          <w:b w:val="false"/>
          <w:i w:val="false"/>
          <w:caps w:val="false"/>
          <w:smallCaps w:val="false"/>
          <w:sz w:val="20"/>
        </w:rPr>
        <w:t>5,102 shares of the newly designated Series A-2 Convertible Preferred Stock, par value $</w:t>
      </w:r>
      <w:bookmarkStart w:id="629" w:name="xdx_907_eus-gaap--PreferredStockParOrSta"/>
      <w:bookmarkEnd w:id="629"/>
      <w:r>
        <w:rPr>
          <w:rFonts w:ascii="Times New Roman;Times;Serif" w:hAnsi="Times New Roman;Times;Serif"/>
          <w:b w:val="false"/>
          <w:i w:val="false"/>
          <w:caps w:val="false"/>
          <w:smallCaps w:val="false"/>
          <w:sz w:val="20"/>
        </w:rPr>
        <w:t>0.001 per share (the “Series A-2 Preferred Stock” and together with the Series A-3 Preferred Stock, the “Series A Preferred Stock”), at a purchase price of $</w:t>
      </w:r>
      <w:bookmarkStart w:id="630" w:name="xdx_908_eus-gaap--SharesIssuedPricePerSh"/>
      <w:bookmarkEnd w:id="630"/>
      <w:r>
        <w:rPr>
          <w:rFonts w:ascii="Times New Roman;Times;Serif" w:hAnsi="Times New Roman;Times;Serif"/>
          <w:b w:val="false"/>
          <w:i w:val="false"/>
          <w:caps w:val="false"/>
          <w:smallCaps w:val="false"/>
          <w:sz w:val="20"/>
        </w:rPr>
        <w:t>1,000 per share, for an aggregate purchase price of $</w:t>
      </w:r>
      <w:bookmarkStart w:id="631" w:name="xdx_907_eus-gaap--ProceedsFromIssuanceOf"/>
      <w:bookmarkEnd w:id="631"/>
      <w:r>
        <w:rPr>
          <w:rFonts w:ascii="Times New Roman;Times;Serif" w:hAnsi="Times New Roman;Times;Serif"/>
          <w:b w:val="false"/>
          <w:i w:val="false"/>
          <w:caps w:val="false"/>
          <w:smallCaps w:val="false"/>
          <w:sz w:val="20"/>
        </w:rPr>
        <w:t xml:space="preserve">5.1 million. The Company also entered into an Exchange Agreement with Yi Hua Chen on November 18, 2024, pursuant to which it issued </w:t>
      </w:r>
      <w:bookmarkStart w:id="632" w:name="xdx_908_eus-gaap--DebtConversionConverte"/>
      <w:bookmarkEnd w:id="632"/>
      <w:r>
        <w:rPr>
          <w:rFonts w:ascii="Times New Roman;Times;Serif" w:hAnsi="Times New Roman;Times;Serif"/>
          <w:b w:val="false"/>
          <w:i w:val="false"/>
          <w:caps w:val="false"/>
          <w:smallCaps w:val="false"/>
          <w:sz w:val="20"/>
        </w:rPr>
        <w:t>1,154 shares of Series A-2 Preferred Stock in full settlement of the outstanding balance of the 2024 Chen Debenture of approximately $</w:t>
      </w:r>
      <w:bookmarkStart w:id="633" w:name="xdx_903_eus-gaap--DebtConversionOriginal"/>
      <w:bookmarkEnd w:id="633"/>
      <w:r>
        <w:rPr>
          <w:rFonts w:ascii="Times New Roman;Times;Serif" w:hAnsi="Times New Roman;Times;Serif"/>
          <w:b w:val="false"/>
          <w:i w:val="false"/>
          <w:caps w:val="false"/>
          <w:smallCaps w:val="false"/>
          <w:sz w:val="20"/>
        </w:rPr>
        <w:t xml:space="preserve">1.15 million. During the year ended December 31, 2025, </w:t>
      </w:r>
      <w:bookmarkStart w:id="634" w:name="xdx_90A_eus-gaap--PreferredStockSharesOu"/>
      <w:bookmarkEnd w:id="634"/>
      <w:r>
        <w:rPr>
          <w:rFonts w:ascii="Times New Roman;Times;Serif" w:hAnsi="Times New Roman;Times;Serif"/>
          <w:b w:val="false"/>
          <w:i w:val="false"/>
          <w:caps w:val="false"/>
          <w:smallCaps w:val="false"/>
          <w:sz w:val="20"/>
        </w:rPr>
        <w:t xml:space="preserve">5,656 shares of Series A-2 Convertible Preferred stock and </w:t>
      </w:r>
      <w:bookmarkStart w:id="635" w:name="xdx_900_eus-gaap--PreferredStockConverti"/>
      <w:bookmarkEnd w:id="635"/>
      <w:r>
        <w:rPr>
          <w:rFonts w:ascii="Times New Roman;Times;Serif" w:hAnsi="Times New Roman;Times;Serif"/>
          <w:b w:val="false"/>
          <w:i w:val="false"/>
          <w:caps w:val="false"/>
          <w:smallCaps w:val="false"/>
          <w:sz w:val="20"/>
        </w:rPr>
        <w:t xml:space="preserve">4,500 shares of Series A-3 Convertible Preferred Stock were converted into </w:t>
      </w:r>
      <w:bookmarkStart w:id="636" w:name="xdx_906_eus-gaap--ConversionOfStockShare"/>
      <w:bookmarkEnd w:id="636"/>
      <w:r>
        <w:rPr>
          <w:rFonts w:ascii="Times New Roman;Times;Serif" w:hAnsi="Times New Roman;Times;Serif"/>
          <w:b w:val="false"/>
          <w:i w:val="false"/>
          <w:caps w:val="false"/>
          <w:smallCaps w:val="false"/>
          <w:sz w:val="20"/>
        </w:rPr>
        <w:t>3,926,263 shares of common stock at a Conversion Price ranging from $</w:t>
      </w:r>
      <w:bookmarkStart w:id="637" w:name="xdx_901_eus-gaap--DebtInstrumentConverti"/>
      <w:bookmarkEnd w:id="637"/>
      <w:r>
        <w:rPr>
          <w:rFonts w:ascii="Times New Roman;Times;Serif" w:hAnsi="Times New Roman;Times;Serif"/>
          <w:b w:val="false"/>
          <w:i w:val="false"/>
          <w:caps w:val="false"/>
          <w:smallCaps w:val="false"/>
          <w:sz w:val="20"/>
        </w:rPr>
        <w:t>3.64 to $</w:t>
      </w:r>
      <w:bookmarkStart w:id="638" w:name="xdx_90A_eus-gaap--DebtInstrumentConverti"/>
      <w:bookmarkEnd w:id="638"/>
      <w:r>
        <w:rPr>
          <w:rFonts w:ascii="Times New Roman;Times;Serif" w:hAnsi="Times New Roman;Times;Serif"/>
          <w:b w:val="false"/>
          <w:i w:val="false"/>
          <w:caps w:val="false"/>
          <w:smallCaps w:val="false"/>
          <w:sz w:val="20"/>
        </w:rPr>
        <w:t xml:space="preserve">2.246. During the six months ended June 30, 2026, </w:t>
      </w:r>
      <w:bookmarkStart w:id="639" w:name="xdx_908_eus-gaap--PreferredStockSharesOu"/>
      <w:bookmarkEnd w:id="639"/>
      <w:r>
        <w:rPr>
          <w:rFonts w:ascii="Times New Roman;Times;Serif" w:hAnsi="Times New Roman;Times;Serif"/>
          <w:b w:val="false"/>
          <w:i w:val="false"/>
          <w:caps w:val="false"/>
          <w:smallCaps w:val="false"/>
          <w:sz w:val="20"/>
        </w:rPr>
        <w:t xml:space="preserve">33,858 shares of Series B Convertible Preferred Stock were converted into </w:t>
      </w:r>
      <w:bookmarkStart w:id="640" w:name="xdx_900_eus-gaap--PreferredStockConverti"/>
      <w:bookmarkEnd w:id="640"/>
      <w:r>
        <w:rPr>
          <w:rFonts w:ascii="Times New Roman;Times;Serif" w:hAnsi="Times New Roman;Times;Serif"/>
          <w:b w:val="false"/>
          <w:i w:val="false"/>
          <w:caps w:val="false"/>
          <w:smallCaps w:val="false"/>
          <w:sz w:val="20"/>
        </w:rPr>
        <w:t>15,074,610 shares of common stock at a Conversion Price of $</w:t>
      </w:r>
      <w:bookmarkStart w:id="641" w:name="xdx_903_eus-gaap--DebtInstrumentConverti"/>
      <w:bookmarkEnd w:id="641"/>
      <w:r>
        <w:rPr>
          <w:rFonts w:ascii="Times New Roman;Times;Serif" w:hAnsi="Times New Roman;Times;Serif"/>
          <w:b w:val="false"/>
          <w:i w:val="false"/>
          <w:caps w:val="false"/>
          <w:smallCaps w:val="false"/>
          <w:sz w:val="20"/>
        </w:rPr>
        <w:t>2.246. At June 30, 2026, the Company’s outstanding preferred stock consists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2" w:name="xdx_8B0_zMQMKd7CuJvg"/>
      <w:bookmarkStart w:id="643" w:name="xdx_89C_eus-gaap--ScheduleOfStockByClass"/>
      <w:bookmarkEnd w:id="642"/>
      <w:bookmarkEnd w:id="643"/>
      <w:r>
        <w:rPr>
          <w:rFonts w:ascii="Times New Roman;Times;Serif" w:hAnsi="Times New Roman;Times;Serif"/>
          <w:b w:val="false"/>
          <w:i w:val="false"/>
          <w:caps w:val="false"/>
          <w:smallCaps w:val="false"/>
          <w:sz w:val="20"/>
        </w:rPr>
        <w:t>SCHEDULE OF OUTSTANDING PREFERRED STOCK </w:t>
      </w:r>
    </w:p>
    <w:tbl>
      <w:tblPr>
        <w:tblW w:w="8376" w:type="dxa"/>
        <w:jc w:val="left"/>
        <w:tblInd w:w="0" w:type="dxa"/>
        <w:tblLayout w:type="fixed"/>
        <w:tblCellMar>
          <w:top w:w="0" w:type="dxa"/>
          <w:left w:w="0" w:type="dxa"/>
          <w:bottom w:w="0" w:type="dxa"/>
          <w:right w:w="0" w:type="dxa"/>
        </w:tblCellMar>
      </w:tblPr>
      <w:tblGrid>
        <w:gridCol w:w="860"/>
        <w:gridCol w:w="60"/>
        <w:gridCol w:w="124"/>
        <w:gridCol w:w="1455"/>
        <w:gridCol w:w="60"/>
        <w:gridCol w:w="60"/>
        <w:gridCol w:w="183"/>
        <w:gridCol w:w="1486"/>
        <w:gridCol w:w="60"/>
        <w:gridCol w:w="60"/>
        <w:gridCol w:w="303"/>
        <w:gridCol w:w="1186"/>
        <w:gridCol w:w="60"/>
        <w:gridCol w:w="60"/>
        <w:gridCol w:w="149"/>
        <w:gridCol w:w="2135"/>
        <w:gridCol w:w="75"/>
      </w:tblGrid>
      <w:tr>
        <w:trPr/>
        <w:tc>
          <w:tcPr>
            <w:tcW w:w="8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Equivalent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4" w:name="xdx_985_eus-gaap--PreferredStockSharesAu"/>
            <w:bookmarkEnd w:id="644"/>
          </w:p>
        </w:tc>
        <w:tc>
          <w:tcPr>
            <w:tcW w:w="1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5" w:name="xdx_983_eus-gaap--PreferredStockSharesOu"/>
            <w:bookmarkEnd w:id="645"/>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46" w:name="xdx_982_eus-gaap--PreferredStockConverti"/>
            <w:bookmarkEnd w:id="646"/>
          </w:p>
        </w:tc>
        <w:tc>
          <w:tcPr>
            <w:tcW w:w="11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7" w:name="xdx_988_eus-gaap--PreferredStockConverti"/>
            <w:bookmarkEnd w:id="647"/>
          </w:p>
        </w:tc>
        <w:tc>
          <w:tcPr>
            <w:tcW w:w="2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267,587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8" w:name="xdx_988_eus-gaap--PreferredStockSharesAu"/>
            <w:bookmarkEnd w:id="648"/>
          </w:p>
        </w:tc>
        <w:tc>
          <w:tcPr>
            <w:tcW w:w="1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9" w:name="xdx_98F_eus-gaap--PreferredStockSharesOu"/>
            <w:bookmarkEnd w:id="649"/>
          </w:p>
        </w:tc>
        <w:tc>
          <w:tcPr>
            <w:tcW w:w="14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0" w:name="xdx_98A_eus-gaap--PreferredStockConverti"/>
            <w:bookmarkEnd w:id="650"/>
          </w:p>
        </w:tc>
        <w:tc>
          <w:tcPr>
            <w:tcW w:w="11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1" w:name="xdx_989_eus-gaap--PreferredStockConverti"/>
            <w:bookmarkEnd w:id="651"/>
          </w:p>
        </w:tc>
        <w:tc>
          <w:tcPr>
            <w:tcW w:w="2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2,709,261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52" w:name="xdx_8A4_zG8hP0QMJNyd"/>
      <w:bookmarkEnd w:id="6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A-2 Preferred Stock, Series A-3 Preferred Stock, and Series B Preferred Stock have the rights, preferences, powers, restrictions and limitations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 – Each share of Preferred Stock is convertible at any time, at the option of the holder, into a number of shares of common stock equal to $</w:t>
      </w:r>
      <w:bookmarkStart w:id="653" w:name="xdx_907_eus-gaap--SharesIssuedPricePerSh"/>
      <w:bookmarkEnd w:id="653"/>
      <w:r>
        <w:rPr>
          <w:rFonts w:ascii="Times New Roman;Times;Serif" w:hAnsi="Times New Roman;Times;Serif"/>
          <w:b w:val="false"/>
          <w:i w:val="false"/>
          <w:caps w:val="false"/>
          <w:smallCaps w:val="false"/>
          <w:sz w:val="20"/>
        </w:rPr>
        <w:t>1,000 (the “Stated Value”), divided by a conversion price initially equal to $</w:t>
      </w:r>
      <w:bookmarkStart w:id="654" w:name="xdx_903_eus-gaap--DebtInstrumentConverti"/>
      <w:bookmarkEnd w:id="654"/>
      <w:r>
        <w:rPr>
          <w:rFonts w:ascii="Times New Roman;Times;Serif" w:hAnsi="Times New Roman;Times;Serif"/>
          <w:b w:val="false"/>
          <w:i w:val="false"/>
          <w:caps w:val="false"/>
          <w:smallCaps w:val="false"/>
          <w:sz w:val="20"/>
        </w:rPr>
        <w:t>3.64 for each share of Series A-2 Preferred Stock, $</w:t>
      </w:r>
      <w:bookmarkStart w:id="655" w:name="xdx_900_eus-gaap--DebtInstrumentConverti"/>
      <w:bookmarkEnd w:id="655"/>
      <w:r>
        <w:rPr>
          <w:rFonts w:ascii="Times New Roman;Times;Serif" w:hAnsi="Times New Roman;Times;Serif"/>
          <w:b w:val="false"/>
          <w:i w:val="false"/>
          <w:caps w:val="false"/>
          <w:smallCaps w:val="false"/>
          <w:sz w:val="20"/>
        </w:rPr>
        <w:t>2.80 for each share of Series A-3 Preferred stock and $</w:t>
      </w:r>
      <w:bookmarkStart w:id="656" w:name="xdx_902_eus-gaap--DebtInstrumentConverti"/>
      <w:bookmarkEnd w:id="656"/>
      <w:r>
        <w:rPr>
          <w:rFonts w:ascii="Times New Roman;Times;Serif" w:hAnsi="Times New Roman;Times;Serif"/>
          <w:b w:val="false"/>
          <w:i w:val="false"/>
          <w:caps w:val="false"/>
          <w:smallCaps w:val="false"/>
          <w:sz w:val="20"/>
        </w:rPr>
        <w:t>2.246 for each share of Series B Preferred Stock (the “Conversion Shares”), subject to adjustment for any stock splits, stock dividends and similar events (the “Conversion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Prices of the Series A Preferred Stock are also subject to down-round adjustments if the Company at any time while the Series A Preferred Stock is outstanding issues common stock or common stock equivalents at a lower effective price per share than the then-effective Conversion Price, in all cases subject to a floor price of $</w:t>
      </w:r>
      <w:bookmarkStart w:id="657" w:name="xdx_902_ecustom--DebtInstrumentFloorPric"/>
      <w:bookmarkEnd w:id="657"/>
      <w:r>
        <w:rPr>
          <w:rFonts w:ascii="Times New Roman;Times;Serif" w:hAnsi="Times New Roman;Times;Serif"/>
          <w:b w:val="false"/>
          <w:i w:val="false"/>
          <w:caps w:val="false"/>
          <w:smallCaps w:val="false"/>
          <w:sz w:val="20"/>
        </w:rPr>
        <w:t>1.82 and $</w:t>
      </w:r>
      <w:bookmarkStart w:id="658" w:name="xdx_902_ecustom--DebtInstrumentFloorPric"/>
      <w:bookmarkEnd w:id="658"/>
      <w:r>
        <w:rPr>
          <w:rFonts w:ascii="Times New Roman;Times;Serif" w:hAnsi="Times New Roman;Times;Serif"/>
          <w:b w:val="false"/>
          <w:i w:val="false"/>
          <w:caps w:val="false"/>
          <w:smallCaps w:val="false"/>
          <w:sz w:val="20"/>
        </w:rPr>
        <w:t>1.40 for the Series A-2 Preferred Stock and the Series A-3 Preferred Stock, respectively. Conversion of the Series A Preferred Stock will be prohibited if, as a result of such conversion, the holder, together with its affiliates, would beneficially own more than 4.99% (or 9.99% at the option of the holder) of the total number of shares of the Company’s common stock issued and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Preference – Upon any voluntary or involuntary liquidation, dissolution or winding-up of the Corporation, the holders of Series A Preferred Stock shall be entitled to an amount equal to the Stated Value for each share of Series A-2 Preferred Stock before any distribution or payment shall be made to the holders of common stock. Upon any voluntary or involuntary liquidation, dissolution or winding-up of the Corporation, the holders of Series B Preferred Stock shall be entitled to an amount equal to the Stated Value, plus any accrued and unpaid dividends thereon before any distribution or payment shall be made to the holders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 The holders of Series A Preferred Stock are entitled to vote, together as a single class with the common stock, on all matters presented to the common stockholders for a vote. Each share of Preferred Stock is entitled to a number of votes equal to the number of shares into which such share of Preferred Stock would be convertible, as of the record date for determination of stockholders entitled to vote as to such matter, if the conversion price was equal to the “Minimum Price” (as defined in Nasdaq Listing Rule 5635(d)) as of the original issue date of the Series A Preferred Stock, taking into account for such purposes the beneficial ownership limitation as then in effect. The holders of Series B Preferred stock will vote together with common stock on an as-converted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 The holders of Series A Preferred Stock and Series B Preferred Stock are entitled to receive dividends, if and when such dividends are paid to holders of common stock, in the same form and at the same time on an as-converted to common stock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Protective Provisions – At all times while the Series A Preferred Stock and Series B Preferred Stock are outstanding, without the consent of the holders of at least 67% of the Stated Value of each series of the then-outstanding Series A Preferred Stock and holders of at least 75% of the Stated Value of the then-outstanding Series B Preferred Stock, (the “Required Consent”), the Company is prohibited from amending its charter documents in any manner that adversely affects the rights of the Series A Preferred Stock and Series B Preferred Stock, repurchase junior securities of the Company, pay cash dividends or distributions on junior securities of the Company, or enter into a material transactions with an affiliate of the Company (unless it is at arm’s length and expressly approved by a majority of the disinterested directors). Without the Required Consent of the Series B Preferred Stock, the Company is prohibited from entering into, creating, assuming or guaranteeing any new indebtedness or liens of any kind.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long as any shares of Series B Preferred Stock are outstanding, the Company shall not, without the affirmative vote of the holders of a majority of the then outstanding shares of the Series B Preferred Stock directly and/or indirectly (a) alter or change adversely the powers, preferences or rights given to the Series B Preferred Stock or alter or amend this Certificate of Designation, (b) authorize or create any class of stock ranking as to redemption or distribution of assets upon a Liquidation (as defined in Section 5) senior to, or otherwise pari passu with, the Series B Preferred Stock or, authorize or create any class of stock ranking as to dividends senior to, or otherwise pari passu with, the Series B Preferred Stock, (c) amend its Articles of Incorporation or other charter documents in any manner that adversely affects any rights of the holders of the Series B Preferred Stock, (d) increase the number of authorized shares of Series B Preferred Stock, or (e) enter into any agreement with respect to any of the foregoing.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subsequent issuance by the Company or any of its subsidiaries of common stock or common stock equivalents for cash consideration, indebtedness or a combination of units thereof (a “Subsequent Financing”), holders of Series B Preferred Stock may elect, in its sole discretion, to exchange (in lieu of conversion), if applicable, all or some of the shares of Series B Preferred Stock then held for any securities or units issued in a Subsequent Financing on a $</w:t>
      </w:r>
      <w:bookmarkStart w:id="659" w:name="xdx_90D_eus-gaap--SharesIssuedPricePerSh"/>
      <w:bookmarkEnd w:id="659"/>
      <w:r>
        <w:rPr>
          <w:rFonts w:ascii="Times New Roman;Times;Serif" w:hAnsi="Times New Roman;Times;Serif"/>
          <w:b w:val="false"/>
          <w:i w:val="false"/>
          <w:caps w:val="false"/>
          <w:smallCaps w:val="false"/>
          <w:sz w:val="20"/>
        </w:rPr>
        <w:t>1.00 for $</w:t>
      </w:r>
      <w:bookmarkStart w:id="660" w:name="xdx_90F_eus-gaap--SharePrice_iI_c2026063"/>
      <w:bookmarkEnd w:id="660"/>
      <w:r>
        <w:rPr>
          <w:rFonts w:ascii="Times New Roman;Times;Serif" w:hAnsi="Times New Roman;Times;Serif"/>
          <w:b w:val="false"/>
          <w:i w:val="false"/>
          <w:caps w:val="false"/>
          <w:smallCaps w:val="false"/>
          <w:sz w:val="20"/>
        </w:rPr>
        <w:t>1.00 basis. Additionally, if in such Subsequent Financing there are any contractual provisions or side letters that provide terms more favorable to the investors than the terms previously provided to holders of the Series B Preferred Stock, holders of the Series B Preferred Stock shall become a part of the transaction documents, at their option.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all compensatory share-based payments as compensation expense over the service period, which is generally the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Company adopted the 2020 Stock Incentive Plan (the “2020 Plan”), which provides for the granting of incentive or non-statutory common stock options and other types of awards to qualified employees, officers, directors, consultants and other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the Company adopted the 2025 Equity Incentive Plan (the “2025 Plan”), which provides for the granting of incentive or non-statutory common stock options and other types of awards to qualified employees, officers, directors, consultants and other service providers. As of June 30, 2026, </w:t>
      </w:r>
      <w:bookmarkStart w:id="661" w:name="xdx_90E_eus-gaap--ShareBasedCompensation"/>
      <w:bookmarkEnd w:id="661"/>
      <w:r>
        <w:rPr>
          <w:rFonts w:ascii="Times New Roman;Times;Serif" w:hAnsi="Times New Roman;Times;Serif"/>
          <w:b w:val="false"/>
          <w:i w:val="false"/>
          <w:caps w:val="false"/>
          <w:smallCaps w:val="false"/>
          <w:sz w:val="20"/>
        </w:rPr>
        <w:t>no awards were granted or outstanding under the 2025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Compensatory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May 2020 reverse recapitalization transaction, the Company issued equity classified compensatory common stock warrants to an advisor and its designees. In addition, various service providers hold equity classified compensatory common stock warrants issued in 2017 and earlier (originally exercisable to purchase Series C convertible preferred stock, and now instead exercisable to purchase common stock). These are to be differentiated from the Series C Warrants described in Note 8 - Warrant Liabilities. As of June 30, 2026, warrants to purchase </w:t>
      </w:r>
      <w:bookmarkStart w:id="662" w:name="xdx_90D_eus-gaap--ClassOfWarrantOrRightN"/>
      <w:bookmarkEnd w:id="662"/>
      <w:r>
        <w:rPr>
          <w:rFonts w:ascii="Times New Roman;Times;Serif" w:hAnsi="Times New Roman;Times;Serif"/>
          <w:b w:val="false"/>
          <w:i w:val="false"/>
          <w:caps w:val="false"/>
          <w:smallCaps w:val="false"/>
          <w:sz w:val="20"/>
        </w:rPr>
        <w:t>107 shares of the Company’s common stock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3" w:name="xdx_905_eus-gaap--ShareBasedCompensation"/>
      <w:bookmarkStart w:id="664" w:name="xdx_90D_eus-gaap--ShareBasedCompensation"/>
      <w:bookmarkEnd w:id="663"/>
      <w:bookmarkEnd w:id="664"/>
      <w:r>
        <w:rPr>
          <w:rFonts w:ascii="Times New Roman;Times;Serif" w:hAnsi="Times New Roman;Times;Serif"/>
          <w:b w:val="false"/>
          <w:i w:val="false"/>
          <w:caps w:val="false"/>
          <w:smallCaps w:val="false"/>
          <w:sz w:val="20"/>
        </w:rPr>
        <w:t>No new compensatory warrants were issued during the six months ended June 30,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5" w:name="xdx_898_ecustom--SummaryOfWarrantActivit"/>
      <w:bookmarkEnd w:id="665"/>
      <w:r>
        <w:rPr>
          <w:rFonts w:ascii="Times New Roman;Times;Serif" w:hAnsi="Times New Roman;Times;Serif"/>
          <w:b w:val="false"/>
          <w:i w:val="false"/>
          <w:caps w:val="false"/>
          <w:smallCaps w:val="false"/>
          <w:sz w:val="20"/>
        </w:rPr>
        <w:t>The following table summarizes the equity classified compensatory warrant activity for the six months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6" w:name="xdx_8B2_zHk3DM0WYne"/>
      <w:bookmarkEnd w:id="666"/>
      <w:r>
        <w:rPr>
          <w:rFonts w:ascii="Times New Roman;Times;Serif" w:hAnsi="Times New Roman;Times;Serif"/>
          <w:b w:val="false"/>
          <w:i w:val="false"/>
          <w:caps w:val="false"/>
          <w:smallCaps w:val="false"/>
          <w:sz w:val="20"/>
        </w:rPr>
        <w:t>SCHEDULE OF COMPENSATORY WARRANT ACTIVITY </w:t>
      </w:r>
    </w:p>
    <w:tbl>
      <w:tblPr>
        <w:tblW w:w="8793" w:type="dxa"/>
        <w:jc w:val="left"/>
        <w:tblInd w:w="0" w:type="dxa"/>
        <w:tblLayout w:type="fixed"/>
        <w:tblCellMar>
          <w:top w:w="0" w:type="dxa"/>
          <w:left w:w="0" w:type="dxa"/>
          <w:bottom w:w="0" w:type="dxa"/>
          <w:right w:w="0" w:type="dxa"/>
        </w:tblCellMar>
      </w:tblPr>
      <w:tblGrid>
        <w:gridCol w:w="3260"/>
        <w:gridCol w:w="60"/>
        <w:gridCol w:w="89"/>
        <w:gridCol w:w="501"/>
        <w:gridCol w:w="80"/>
        <w:gridCol w:w="60"/>
        <w:gridCol w:w="238"/>
        <w:gridCol w:w="1416"/>
        <w:gridCol w:w="60"/>
        <w:gridCol w:w="60"/>
        <w:gridCol w:w="125"/>
        <w:gridCol w:w="1625"/>
        <w:gridCol w:w="60"/>
        <w:gridCol w:w="60"/>
        <w:gridCol w:w="139"/>
        <w:gridCol w:w="885"/>
        <w:gridCol w:w="75"/>
      </w:tblGrid>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outstanding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7" w:name="xdx_981_eus-gaap--ShareBasedCompensation"/>
            <w:bookmarkEnd w:id="667"/>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68" w:name="xdx_980_ecustom--ShareBasedCompensationA"/>
            <w:bookmarkEnd w:id="668"/>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69" w:name="xdx_902_ecustom--RangeOfExercisePriceOut"/>
            <w:bookmarkEnd w:id="669"/>
            <w:r>
              <w:rPr>
                <w:rFonts w:ascii="Times New Roman;Times;Serif" w:hAnsi="Times New Roman;Times;Serif"/>
                <w:b w:val="false"/>
                <w:i w:val="false"/>
                <w:caps w:val="false"/>
                <w:smallCaps w:val="false"/>
                <w:sz w:val="20"/>
              </w:rPr>
              <w:t>1,270.25-$</w:t>
            </w:r>
            <w:bookmarkStart w:id="670" w:name="xdx_900_ecustom--RangeOfExercisePriceOut"/>
            <w:bookmarkEnd w:id="670"/>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71" w:name="xdx_902_ecustom--ShareBasedCompensationA"/>
            <w:bookmarkEnd w:id="671"/>
            <w:r>
              <w:rPr>
                <w:rFonts w:ascii="Times New Roman;Times;Serif" w:hAnsi="Times New Roman;Times;Serif"/>
                <w:b w:val="false"/>
                <w:i w:val="false"/>
                <w:caps w:val="false"/>
                <w:smallCaps w:val="false"/>
                <w:sz w:val="20"/>
              </w:rPr>
              <w:t>0.81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72" w:name="xdx_98A_eus-gaap--ShareBasedCompensation"/>
            <w:bookmarkEnd w:id="672"/>
          </w:p>
        </w:tc>
        <w:tc>
          <w:tcPr>
            <w:tcW w:w="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73" w:name="xdx_984_ecustom--ShareBasedCompensationA"/>
            <w:bookmarkEnd w:id="673"/>
          </w:p>
        </w:tc>
        <w:tc>
          <w:tcPr>
            <w:tcW w:w="14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4" w:name="xdx_98E_eus-gaap--ShareBasedCompensation"/>
            <w:bookmarkEnd w:id="674"/>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5" w:name="xdx_984_ecustom--ShareBasedCompensationA"/>
            <w:bookmarkEnd w:id="675"/>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76" w:name="xdx_988_eus-gaap--ShareBasedCompensation"/>
            <w:bookmarkEnd w:id="676"/>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77" w:name="xdx_989_ecustom--ShareBasedCompensationA"/>
            <w:bookmarkEnd w:id="677"/>
          </w:p>
        </w:tc>
        <w:tc>
          <w:tcPr>
            <w:tcW w:w="141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outstanding –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78" w:name="xdx_98F_eus-gaap--ShareBasedCompensation"/>
            <w:bookmarkEnd w:id="678"/>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79" w:name="xdx_985_ecustom--ShareBasedCompensationA"/>
            <w:bookmarkEnd w:id="679"/>
          </w:p>
        </w:tc>
        <w:tc>
          <w:tcPr>
            <w:tcW w:w="14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0" w:name="xdx_90C_ecustom--RangeOfExercisePriceOut"/>
            <w:bookmarkEnd w:id="680"/>
            <w:r>
              <w:rPr>
                <w:rFonts w:ascii="Times New Roman;Times;Serif" w:hAnsi="Times New Roman;Times;Serif"/>
                <w:b w:val="false"/>
                <w:i w:val="false"/>
                <w:caps w:val="false"/>
                <w:smallCaps w:val="false"/>
                <w:sz w:val="20"/>
              </w:rPr>
              <w:t>1,270.25-$</w:t>
            </w:r>
            <w:bookmarkStart w:id="681" w:name="xdx_90D_ecustom--RangeOfExercisePriceOut"/>
            <w:bookmarkEnd w:id="681"/>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2" w:name="xdx_90D_ecustom--ShareBasedCompensationA"/>
            <w:bookmarkEnd w:id="682"/>
            <w:r>
              <w:rPr>
                <w:rFonts w:ascii="Times New Roman;Times;Serif" w:hAnsi="Times New Roman;Times;Serif"/>
                <w:b w:val="false"/>
                <w:i w:val="false"/>
                <w:caps w:val="false"/>
                <w:smallCaps w:val="false"/>
                <w:sz w:val="20"/>
              </w:rPr>
              <w:t>0.65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83" w:name="xdx_98B_ecustom--ShareBasedCompensationA"/>
            <w:bookmarkEnd w:id="683"/>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84" w:name="xdx_98B_ecustom--ShareBasedCompensationA"/>
            <w:bookmarkEnd w:id="684"/>
          </w:p>
        </w:tc>
        <w:tc>
          <w:tcPr>
            <w:tcW w:w="14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5" w:name="xdx_905_ecustom--RangeOfExercisePriceExe"/>
            <w:bookmarkEnd w:id="685"/>
            <w:r>
              <w:rPr>
                <w:rFonts w:ascii="Times New Roman;Times;Serif" w:hAnsi="Times New Roman;Times;Serif"/>
                <w:b w:val="false"/>
                <w:i w:val="false"/>
                <w:caps w:val="false"/>
                <w:smallCaps w:val="false"/>
                <w:sz w:val="20"/>
              </w:rPr>
              <w:t>1,270.25-$</w:t>
            </w:r>
            <w:bookmarkStart w:id="686" w:name="xdx_906_ecustom--RangeOfExercisePriceExe"/>
            <w:bookmarkEnd w:id="686"/>
            <w:r>
              <w:rPr>
                <w:rFonts w:ascii="Times New Roman;Times;Serif" w:hAnsi="Times New Roman;Times;Serif"/>
                <w:b w:val="false"/>
                <w:i w:val="false"/>
                <w:caps w:val="false"/>
                <w:smallCaps w:val="false"/>
                <w:sz w:val="20"/>
              </w:rPr>
              <w:t>1,270.25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7" w:name="xdx_90E_ecustom--ShareBasedCompensationA"/>
            <w:bookmarkEnd w:id="687"/>
            <w:r>
              <w:rPr>
                <w:rFonts w:ascii="Times New Roman;Times;Serif" w:hAnsi="Times New Roman;Times;Serif"/>
                <w:b w:val="false"/>
                <w:i w:val="false"/>
                <w:caps w:val="false"/>
                <w:smallCaps w:val="false"/>
                <w:sz w:val="20"/>
              </w:rPr>
              <w:t>0.65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Non-Exercisable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88" w:name="xdx_982_ecustom--ShareBasedCompensationA"/>
            <w:bookmarkEnd w:id="688"/>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89" w:name="xdx_980_ecustom--ShareBasedCompensationA"/>
            <w:bookmarkEnd w:id="689"/>
          </w:p>
        </w:tc>
        <w:tc>
          <w:tcPr>
            <w:tcW w:w="141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bookmarkStart w:id="690" w:name="xdx_909_ecustom--RangeOfExercisePriceNon"/>
            <w:bookmarkEnd w:id="690"/>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equity classified compensatory warrant activity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260"/>
        <w:gridCol w:w="60"/>
        <w:gridCol w:w="77"/>
        <w:gridCol w:w="513"/>
        <w:gridCol w:w="80"/>
        <w:gridCol w:w="60"/>
        <w:gridCol w:w="135"/>
        <w:gridCol w:w="799"/>
        <w:gridCol w:w="60"/>
        <w:gridCol w:w="60"/>
        <w:gridCol w:w="125"/>
        <w:gridCol w:w="1625"/>
        <w:gridCol w:w="60"/>
        <w:gridCol w:w="60"/>
        <w:gridCol w:w="139"/>
        <w:gridCol w:w="885"/>
        <w:gridCol w:w="75"/>
      </w:tblGrid>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7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outstanding –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1" w:name="xdx_98D_eus-gaap--ShareBasedCompensation"/>
            <w:bookmarkEnd w:id="691"/>
          </w:p>
        </w:tc>
        <w:tc>
          <w:tcPr>
            <w:tcW w:w="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92" w:name="xdx_989_ecustom--ShareBasedCompensationA"/>
            <w:bookmarkEnd w:id="692"/>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3" w:name="xdx_907_ecustom--RangeOfExercisePriceOut"/>
            <w:bookmarkEnd w:id="693"/>
            <w:r>
              <w:rPr>
                <w:rFonts w:ascii="Times New Roman;Times;Serif" w:hAnsi="Times New Roman;Times;Serif"/>
                <w:b w:val="false"/>
                <w:i w:val="false"/>
                <w:caps w:val="false"/>
                <w:smallCaps w:val="false"/>
                <w:sz w:val="20"/>
              </w:rPr>
              <w:t>1,270.25-$</w:t>
            </w:r>
            <w:bookmarkStart w:id="694" w:name="xdx_907_ecustom--RangeOfExercisePriceOut"/>
            <w:bookmarkEnd w:id="694"/>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95" w:name="xdx_906_ecustom--ShareBasedCompensationA"/>
            <w:bookmarkEnd w:id="695"/>
            <w:r>
              <w:rPr>
                <w:rFonts w:ascii="Times New Roman;Times;Serif" w:hAnsi="Times New Roman;Times;Serif"/>
                <w:b w:val="false"/>
                <w:i w:val="false"/>
                <w:caps w:val="false"/>
                <w:smallCaps w:val="false"/>
                <w:sz w:val="20"/>
              </w:rPr>
              <w:t>0.69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96" w:name="xdx_98C_eus-gaap--ShareBasedCompensation"/>
            <w:bookmarkEnd w:id="696"/>
          </w:p>
        </w:tc>
        <w:tc>
          <w:tcPr>
            <w:tcW w:w="5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97" w:name="xdx_98E_ecustom--ShareBasedCompensationA"/>
            <w:bookmarkEnd w:id="697"/>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8" w:name="xdx_984_eus-gaap--ShareBasedCompensation"/>
            <w:bookmarkEnd w:id="698"/>
          </w:p>
        </w:tc>
        <w:tc>
          <w:tcPr>
            <w:tcW w:w="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99" w:name="xdx_98A_ecustom--ShareBasedCompensationA"/>
            <w:bookmarkEnd w:id="699"/>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0" w:name="xdx_905_ecustom--RangeOfExercisePriceExp"/>
            <w:bookmarkEnd w:id="700"/>
            <w:r>
              <w:rPr>
                <w:rFonts w:ascii="Times New Roman;Times;Serif" w:hAnsi="Times New Roman;Times;Serif"/>
                <w:b w:val="false"/>
                <w:i w:val="false"/>
                <w:caps w:val="false"/>
                <w:smallCaps w:val="false"/>
                <w:sz w:val="20"/>
              </w:rPr>
              <w:t>1,270.25-$</w:t>
            </w:r>
            <w:bookmarkStart w:id="701" w:name="xdx_904_ecustom--RangeOfExercisePriceExp"/>
            <w:bookmarkEnd w:id="701"/>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02" w:name="xdx_98B_eus-gaap--ShareBasedCompensation"/>
            <w:bookmarkEnd w:id="702"/>
          </w:p>
        </w:tc>
        <w:tc>
          <w:tcPr>
            <w:tcW w:w="5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03" w:name="xdx_98B_ecustom--ShareBasedCompensationA"/>
            <w:bookmarkEnd w:id="703"/>
          </w:p>
        </w:tc>
        <w:tc>
          <w:tcPr>
            <w:tcW w:w="7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outstanding –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04" w:name="xdx_98F_eus-gaap--ShareBasedCompensation"/>
            <w:bookmarkEnd w:id="704"/>
          </w:p>
        </w:tc>
        <w:tc>
          <w:tcPr>
            <w:tcW w:w="5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5" w:name="xdx_98F_ecustom--ShareBasedCompensationA"/>
            <w:bookmarkEnd w:id="705"/>
          </w:p>
        </w:tc>
        <w:tc>
          <w:tcPr>
            <w:tcW w:w="7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6" w:name="xdx_907_ecustom--RangeOfExercisePriceOut"/>
            <w:bookmarkEnd w:id="706"/>
            <w:r>
              <w:rPr>
                <w:rFonts w:ascii="Times New Roman;Times;Serif" w:hAnsi="Times New Roman;Times;Serif"/>
                <w:b w:val="false"/>
                <w:i w:val="false"/>
                <w:caps w:val="false"/>
                <w:smallCaps w:val="false"/>
                <w:sz w:val="20"/>
              </w:rPr>
              <w:t>1,270.25-$</w:t>
            </w:r>
            <w:bookmarkStart w:id="707" w:name="xdx_904_ecustom--RangeOfExercisePriceOut"/>
            <w:bookmarkEnd w:id="707"/>
            <w:r>
              <w:rPr>
                <w:rFonts w:ascii="Times New Roman;Times;Serif" w:hAnsi="Times New Roman;Times;Serif"/>
                <w:b w:val="false"/>
                <w:i w:val="false"/>
                <w:caps w:val="false"/>
                <w:smallCaps w:val="false"/>
                <w:sz w:val="20"/>
              </w:rPr>
              <w:t>1,270.25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8" w:name="xdx_905_ecustom--ShareBasedCompensationA"/>
            <w:bookmarkEnd w:id="708"/>
            <w:r>
              <w:rPr>
                <w:rFonts w:ascii="Times New Roman;Times;Serif" w:hAnsi="Times New Roman;Times;Serif"/>
                <w:b w:val="false"/>
                <w:i w:val="false"/>
                <w:caps w:val="false"/>
                <w:smallCaps w:val="false"/>
                <w:sz w:val="20"/>
              </w:rPr>
              <w:t>1.28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09" w:name="xdx_987_ecustom--ShareBasedCompensationA"/>
            <w:bookmarkEnd w:id="709"/>
          </w:p>
        </w:tc>
        <w:tc>
          <w:tcPr>
            <w:tcW w:w="5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0" w:name="xdx_980_ecustom--ShareBasedCompensationA"/>
            <w:bookmarkEnd w:id="710"/>
          </w:p>
        </w:tc>
        <w:tc>
          <w:tcPr>
            <w:tcW w:w="7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11" w:name="xdx_90D_ecustom--RangeOfExercisePriceExe"/>
            <w:bookmarkEnd w:id="711"/>
            <w:r>
              <w:rPr>
                <w:rFonts w:ascii="Times New Roman;Times;Serif" w:hAnsi="Times New Roman;Times;Serif"/>
                <w:b w:val="false"/>
                <w:i w:val="false"/>
                <w:caps w:val="false"/>
                <w:smallCaps w:val="false"/>
                <w:sz w:val="20"/>
              </w:rPr>
              <w:t>1,270.25-$</w:t>
            </w:r>
            <w:bookmarkStart w:id="712" w:name="xdx_906_ecustom--RangeOfExercisePriceExe"/>
            <w:bookmarkEnd w:id="712"/>
            <w:r>
              <w:rPr>
                <w:rFonts w:ascii="Times New Roman;Times;Serif" w:hAnsi="Times New Roman;Times;Serif"/>
                <w:b w:val="false"/>
                <w:i w:val="false"/>
                <w:caps w:val="false"/>
                <w:smallCaps w:val="false"/>
                <w:sz w:val="20"/>
              </w:rPr>
              <w:t>1,270.25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13" w:name="xdx_90B_ecustom--ShareBasedCompensationA"/>
            <w:bookmarkEnd w:id="713"/>
            <w:r>
              <w:rPr>
                <w:rFonts w:ascii="Times New Roman;Times;Serif" w:hAnsi="Times New Roman;Times;Serif"/>
                <w:b w:val="false"/>
                <w:i w:val="false"/>
                <w:caps w:val="false"/>
                <w:smallCaps w:val="false"/>
                <w:sz w:val="20"/>
              </w:rPr>
              <w:t>1.28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Non-Exercisable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4" w:name="xdx_98E_ecustom--ShareBasedCompensationA"/>
            <w:bookmarkEnd w:id="714"/>
          </w:p>
        </w:tc>
        <w:tc>
          <w:tcPr>
            <w:tcW w:w="5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5" w:name="xdx_980_ecustom--ShareBasedCompensationA"/>
            <w:bookmarkEnd w:id="715"/>
          </w:p>
        </w:tc>
        <w:tc>
          <w:tcPr>
            <w:tcW w:w="7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16" w:name="xdx_900_ecustom--RangeOfExercisePriceNon"/>
            <w:bookmarkEnd w:id="716"/>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717" w:name="xdx_8A8_zWJXSsYMJztg"/>
      <w:bookmarkEnd w:id="71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no compensation costs related to outstanding warrants for the six months ended June 30, 2026 and 2025. As of June 30, 2026 and 2025, there was </w:t>
      </w:r>
      <w:bookmarkStart w:id="718" w:name="xdx_901_eus-gaap--EmployeeServiceShareBa"/>
      <w:bookmarkStart w:id="719" w:name="xdx_906_eus-gaap--EmployeeServiceShareBa"/>
      <w:bookmarkEnd w:id="718"/>
      <w:bookmarkEnd w:id="719"/>
      <w:r>
        <w:rPr>
          <w:rFonts w:ascii="Times New Roman;Times;Serif" w:hAnsi="Times New Roman;Times;Serif"/>
          <w:b w:val="false"/>
          <w:i w:val="false"/>
          <w:caps w:val="false"/>
          <w:smallCaps w:val="false"/>
          <w:sz w:val="20"/>
        </w:rPr>
        <w:t>no unrecognized compensation cost related to nonvested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Noncompensatory Equity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2022, in conjunction with the issuance of a debenture to Alpha (see Note 9 – Convertible Debt), the Company issued to Alpha a warrant to purchase </w:t>
      </w:r>
      <w:bookmarkStart w:id="720" w:name="xdx_90E_eus-gaap--ClassOfWarrantOrRightN"/>
      <w:bookmarkEnd w:id="720"/>
      <w:r>
        <w:rPr>
          <w:rFonts w:ascii="Times New Roman;Times;Serif" w:hAnsi="Times New Roman;Times;Serif"/>
          <w:b w:val="false"/>
          <w:i w:val="false"/>
          <w:caps w:val="false"/>
          <w:smallCaps w:val="false"/>
          <w:sz w:val="20"/>
        </w:rPr>
        <w:t>50,000 shares of the Company’s common stock. The exercise price of this warrant was initially $</w:t>
      </w:r>
      <w:bookmarkStart w:id="721" w:name="xdx_90E_eus-gaap--ClassOfWarrantOrRightE"/>
      <w:bookmarkEnd w:id="721"/>
      <w:r>
        <w:rPr>
          <w:rFonts w:ascii="Times New Roman;Times;Serif" w:hAnsi="Times New Roman;Times;Serif"/>
          <w:b w:val="false"/>
          <w:i w:val="false"/>
          <w:caps w:val="false"/>
          <w:smallCaps w:val="false"/>
          <w:sz w:val="20"/>
        </w:rPr>
        <w:t>82.50, and may be exercised in whole or in part, on or after June 22, 2023 and at any time before June 22, 2028. On December 5, 2023, the Company entered into an Amendment No. 1 with regard to the related Securities Purchase Agreement, with Alpha. This Amendment reduced the Exercise Price of the December 22, 2022 warrant from $</w:t>
      </w:r>
      <w:bookmarkStart w:id="722" w:name="xdx_90E_eus-gaap--ClassOfWarrantOrRightE"/>
      <w:bookmarkEnd w:id="722"/>
      <w:r>
        <w:rPr>
          <w:rFonts w:ascii="Times New Roman;Times;Serif" w:hAnsi="Times New Roman;Times;Serif"/>
          <w:b w:val="false"/>
          <w:i w:val="false"/>
          <w:caps w:val="false"/>
          <w:smallCaps w:val="false"/>
          <w:sz w:val="20"/>
        </w:rPr>
        <w:t>82.50 per share to $</w:t>
      </w:r>
      <w:bookmarkStart w:id="723" w:name="xdx_901_eus-gaap--SharePrice_iI_pid_c202"/>
      <w:bookmarkEnd w:id="723"/>
      <w:r>
        <w:rPr>
          <w:rFonts w:ascii="Times New Roman;Times;Serif" w:hAnsi="Times New Roman;Times;Serif"/>
          <w:b w:val="false"/>
          <w:i w:val="false"/>
          <w:caps w:val="false"/>
          <w:smallCaps w:val="false"/>
          <w:sz w:val="20"/>
        </w:rPr>
        <w:t xml:space="preserve">36.50 per share. The Amendment also revised certain provisions of the warrant which resulted in reclassification of the warrant from liabilities to equity during the year ended December 31, 2023. During the year ended December 31, 2024 this warrant was partially exercised for </w:t>
      </w:r>
      <w:bookmarkStart w:id="724" w:name="xdx_902_eus-gaap--ShareBasedCompensation"/>
      <w:bookmarkEnd w:id="724"/>
      <w:r>
        <w:rPr>
          <w:rFonts w:ascii="Times New Roman;Times;Serif" w:hAnsi="Times New Roman;Times;Serif"/>
          <w:b w:val="false"/>
          <w:i w:val="false"/>
          <w:caps w:val="false"/>
          <w:smallCaps w:val="false"/>
          <w:sz w:val="20"/>
        </w:rPr>
        <w:t xml:space="preserve">31,998 shares, and as of June 30 2026 warrants to purchase </w:t>
      </w:r>
      <w:bookmarkStart w:id="725" w:name="xdx_907_eus-gaap--ClassOfWarrantOrRightN"/>
      <w:bookmarkEnd w:id="725"/>
      <w:r>
        <w:rPr>
          <w:rFonts w:ascii="Times New Roman;Times;Serif" w:hAnsi="Times New Roman;Times;Serif"/>
          <w:b w:val="false"/>
          <w:i w:val="false"/>
          <w:caps w:val="false"/>
          <w:smallCaps w:val="false"/>
          <w:sz w:val="20"/>
        </w:rPr>
        <w:t>18,002 shares of the Company’s common stock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new Securities Purchase Agreement with Alpha for the purchase of the February 2024 Debenture (see Note 9 – Convertible Debt). This Securities Purchase Agreement resulted in the reduction of the exercise price of the December 22, 2022 warrant and the May 2020 warrant from $</w:t>
      </w:r>
      <w:bookmarkStart w:id="726" w:name="xdx_908_eus-gaap--ClassOfWarrantOrRightE"/>
      <w:bookmarkEnd w:id="726"/>
      <w:r>
        <w:rPr>
          <w:rFonts w:ascii="Times New Roman;Times;Serif" w:hAnsi="Times New Roman;Times;Serif"/>
          <w:b w:val="false"/>
          <w:i w:val="false"/>
          <w:caps w:val="false"/>
          <w:smallCaps w:val="false"/>
          <w:sz w:val="20"/>
        </w:rPr>
        <w:t>36.50 per share to $</w:t>
      </w:r>
      <w:bookmarkStart w:id="727" w:name="xdx_90E_eus-gaap--ClassOfWarrantOrRightE"/>
      <w:bookmarkEnd w:id="727"/>
      <w:r>
        <w:rPr>
          <w:rFonts w:ascii="Times New Roman;Times;Serif" w:hAnsi="Times New Roman;Times;Serif"/>
          <w:b w:val="false"/>
          <w:i w:val="false"/>
          <w:caps w:val="false"/>
          <w:smallCaps w:val="false"/>
          <w:sz w:val="20"/>
        </w:rPr>
        <w:t>13.00 per share. The company recognized a deemed dividend of $</w:t>
      </w:r>
      <w:bookmarkStart w:id="728" w:name="xdx_909_ecustom--DeemedDividendArisingFr"/>
      <w:bookmarkEnd w:id="728"/>
      <w:r>
        <w:rPr>
          <w:rFonts w:ascii="Times New Roman;Times;Serif" w:hAnsi="Times New Roman;Times;Serif"/>
          <w:b w:val="false"/>
          <w:i w:val="false"/>
          <w:caps w:val="false"/>
          <w:smallCaps w:val="false"/>
          <w:sz w:val="20"/>
        </w:rPr>
        <w:t xml:space="preserve">60,017,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unaudited condensed consolidated statements of changes in stockholders’ equity. In addition, on February 27, 2024, the Company issued to Alpha a warrant to purchase </w:t>
      </w:r>
      <w:bookmarkStart w:id="729" w:name="xdx_902_eus-gaap--ClassOfWarrantOrRightN"/>
      <w:bookmarkEnd w:id="729"/>
      <w:r>
        <w:rPr>
          <w:rFonts w:ascii="Times New Roman;Times;Serif" w:hAnsi="Times New Roman;Times;Serif"/>
          <w:b w:val="false"/>
          <w:i w:val="false"/>
          <w:caps w:val="false"/>
          <w:smallCaps w:val="false"/>
          <w:sz w:val="20"/>
        </w:rPr>
        <w:t>18,001 shares of the Company’s common stock at an exercise price of $</w:t>
      </w:r>
      <w:bookmarkStart w:id="730" w:name="xdx_903_eus-gaap--ClassOfWarrantOrRightE"/>
      <w:bookmarkEnd w:id="730"/>
      <w:r>
        <w:rPr>
          <w:rFonts w:ascii="Times New Roman;Times;Serif" w:hAnsi="Times New Roman;Times;Serif"/>
          <w:b w:val="false"/>
          <w:i w:val="false"/>
          <w:caps w:val="false"/>
          <w:smallCaps w:val="false"/>
          <w:sz w:val="20"/>
        </w:rPr>
        <w:t>13.00 per share, which may be exercised in whole or in part, at any time before February 27,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as a result of the down-round provision triggered by shares sold in a public offering, the above warrants were repriced from $</w:t>
      </w:r>
      <w:bookmarkStart w:id="731" w:name="xdx_909_eus-gaap--ClassOfWarrantOrRightE"/>
      <w:bookmarkEnd w:id="731"/>
      <w:r>
        <w:rPr>
          <w:rFonts w:ascii="Times New Roman;Times;Serif" w:hAnsi="Times New Roman;Times;Serif"/>
          <w:b w:val="false"/>
          <w:i w:val="false"/>
          <w:caps w:val="false"/>
          <w:smallCaps w:val="false"/>
          <w:sz w:val="20"/>
        </w:rPr>
        <w:t>13.00 per share exercise price to $</w:t>
      </w:r>
      <w:bookmarkStart w:id="732" w:name="xdx_905_eus-gaap--ClassOfWarrantOrRightE"/>
      <w:bookmarkEnd w:id="732"/>
      <w:r>
        <w:rPr>
          <w:rFonts w:ascii="Times New Roman;Times;Serif" w:hAnsi="Times New Roman;Times;Serif"/>
          <w:b w:val="false"/>
          <w:i w:val="false"/>
          <w:caps w:val="false"/>
          <w:smallCaps w:val="false"/>
          <w:sz w:val="20"/>
        </w:rPr>
        <w:t>6.50 per share exercise price. The company recognized an additional deemed dividend of $</w:t>
      </w:r>
      <w:bookmarkStart w:id="733" w:name="xdx_907_ecustom--DeemedDividendArisingFr"/>
      <w:bookmarkEnd w:id="733"/>
      <w:r>
        <w:rPr>
          <w:rFonts w:ascii="Times New Roman;Times;Serif" w:hAnsi="Times New Roman;Times;Serif"/>
          <w:b w:val="false"/>
          <w:i w:val="false"/>
          <w:caps w:val="false"/>
          <w:smallCaps w:val="false"/>
          <w:sz w:val="20"/>
        </w:rPr>
        <w:t>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unaudited consolidated statements of changes in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in connection with the issuance of a convertible debenture to Chen (see Note 9 – Convertible Debt), the Company issued a liability classified warrant to Chen to purchase </w:t>
      </w:r>
      <w:bookmarkStart w:id="734" w:name="xdx_902_eus-gaap--ClassOfWarrantOrRightN"/>
      <w:bookmarkEnd w:id="734"/>
      <w:r>
        <w:rPr>
          <w:rFonts w:ascii="Times New Roman;Times;Serif" w:hAnsi="Times New Roman;Times;Serif"/>
          <w:b w:val="false"/>
          <w:i w:val="false"/>
          <w:caps w:val="false"/>
          <w:smallCaps w:val="false"/>
          <w:sz w:val="20"/>
        </w:rPr>
        <w:t>36,001 shares of common stock, exercisable until February 27, 2029. On September 6, 2024, as a result of a down-round provision triggered by shares sold in a public offering, the warrant was repriced from an exercise price of $</w:t>
      </w:r>
      <w:bookmarkStart w:id="735" w:name="xdx_903_eus-gaap--ClassOfWarrantOrRightE"/>
      <w:bookmarkEnd w:id="735"/>
      <w:r>
        <w:rPr>
          <w:rFonts w:ascii="Times New Roman;Times;Serif" w:hAnsi="Times New Roman;Times;Serif"/>
          <w:b w:val="false"/>
          <w:i w:val="false"/>
          <w:caps w:val="false"/>
          <w:smallCaps w:val="false"/>
          <w:sz w:val="20"/>
        </w:rPr>
        <w:t>13.00 per share to an exercise price of $</w:t>
      </w:r>
      <w:bookmarkStart w:id="736" w:name="xdx_905_eus-gaap--ClassOfWarrantOrRightE"/>
      <w:bookmarkEnd w:id="736"/>
      <w:r>
        <w:rPr>
          <w:rFonts w:ascii="Times New Roman;Times;Serif" w:hAnsi="Times New Roman;Times;Serif"/>
          <w:b w:val="false"/>
          <w:i w:val="false"/>
          <w:caps w:val="false"/>
          <w:smallCaps w:val="false"/>
          <w:sz w:val="20"/>
        </w:rPr>
        <w:t>6.50 per share. The warrant was initially liability classified due to an insufficient number of authorized shares to settle the warrant prior to the receipt of shareholder approval, which was subsequently obtained on October 25, 2024. As of that date, the Company determined that shareholder approval resulted in equity classification for the warrant and accordingly, the Company remeasured the warrant liability to fair value, and reclassified to noncompensatory equity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as a result of the down-round provision triggered by shares sold in a public offering, the above warrants were repriced from $</w:t>
      </w:r>
      <w:bookmarkStart w:id="737" w:name="xdx_905_eus-gaap--ClassOfWarrantOrRightE"/>
      <w:bookmarkEnd w:id="737"/>
      <w:r>
        <w:rPr>
          <w:rFonts w:ascii="Times New Roman;Times;Serif" w:hAnsi="Times New Roman;Times;Serif"/>
          <w:b w:val="false"/>
          <w:i w:val="false"/>
          <w:caps w:val="false"/>
          <w:smallCaps w:val="false"/>
          <w:sz w:val="20"/>
        </w:rPr>
        <w:t>13.00 per share exercise price to $</w:t>
      </w:r>
      <w:bookmarkStart w:id="738" w:name="xdx_90C_eus-gaap--ClassOfWarrantOrRightE"/>
      <w:bookmarkEnd w:id="738"/>
      <w:r>
        <w:rPr>
          <w:rFonts w:ascii="Times New Roman;Times;Serif" w:hAnsi="Times New Roman;Times;Serif"/>
          <w:b w:val="false"/>
          <w:i w:val="false"/>
          <w:caps w:val="false"/>
          <w:smallCaps w:val="false"/>
          <w:sz w:val="20"/>
        </w:rPr>
        <w:t>6.50 per share exercise price. The company recognized an additional deemed dividend of $</w:t>
      </w:r>
      <w:bookmarkStart w:id="739" w:name="xdx_909_ecustom--DeemedDividendArisingFr"/>
      <w:bookmarkEnd w:id="739"/>
      <w:r>
        <w:rPr>
          <w:rFonts w:ascii="Times New Roman;Times;Serif" w:hAnsi="Times New Roman;Times;Serif"/>
          <w:b w:val="false"/>
          <w:i w:val="false"/>
          <w:caps w:val="false"/>
          <w:smallCaps w:val="false"/>
          <w:sz w:val="20"/>
        </w:rPr>
        <w:t>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partial voluntary conversion of the 2024 Alpha Debenture on September 9, 2024, the Company no longer had sufficient shares to settle the 2024 Alpha Warrant in full until shareholder approval was obtained, and a portion (</w:t>
      </w:r>
      <w:bookmarkStart w:id="740" w:name="xdx_902_eus-gaap--ClassOfWarrantOrRightO"/>
      <w:bookmarkEnd w:id="740"/>
      <w:r>
        <w:rPr>
          <w:rFonts w:ascii="Times New Roman;Times;Serif" w:hAnsi="Times New Roman;Times;Serif"/>
          <w:b w:val="false"/>
          <w:i w:val="false"/>
          <w:caps w:val="false"/>
          <w:smallCaps w:val="false"/>
          <w:sz w:val="20"/>
        </w:rPr>
        <w:t>2,314 warrant shares with a fair value of $</w:t>
      </w:r>
      <w:bookmarkStart w:id="741" w:name="xdx_90A_eus-gaap--FairValueAdjustmentOfW"/>
      <w:bookmarkEnd w:id="741"/>
      <w:r>
        <w:rPr>
          <w:rFonts w:ascii="Times New Roman;Times;Serif" w:hAnsi="Times New Roman;Times;Serif"/>
          <w:b w:val="false"/>
          <w:i w:val="false"/>
          <w:caps w:val="false"/>
          <w:smallCaps w:val="false"/>
          <w:sz w:val="20"/>
        </w:rPr>
        <w:t>14,997) was reclassified to liabilities (see Note 8 – Warrant Liabilities). Shareholder approval was subsequently obtained on October 25, 2024, and as of that date, the Company determined that shareholder approval resulted in equity classification for the warrant again and, accordingly, the Company remeasured the warrant liability to fair value, and reclassified to noncompensatory equity classified warrants.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6, 2024, upon the closing of a public offering, the Company issued pre-funded warrants to purchase </w:t>
      </w:r>
      <w:bookmarkStart w:id="742" w:name="xdx_90A_eus-gaap--ClassOfWarrantOrRightN"/>
      <w:bookmarkEnd w:id="742"/>
      <w:r>
        <w:rPr>
          <w:rFonts w:ascii="Times New Roman;Times;Serif" w:hAnsi="Times New Roman;Times;Serif"/>
          <w:b w:val="false"/>
          <w:i w:val="false"/>
          <w:caps w:val="false"/>
          <w:smallCaps w:val="false"/>
          <w:sz w:val="20"/>
        </w:rPr>
        <w:t>239,456 common shares at a price of $</w:t>
      </w:r>
      <w:bookmarkStart w:id="743" w:name="xdx_904_eus-gaap--SharesIssuedPricePerSh"/>
      <w:bookmarkEnd w:id="743"/>
      <w:r>
        <w:rPr>
          <w:rFonts w:ascii="Times New Roman;Times;Serif" w:hAnsi="Times New Roman;Times;Serif"/>
          <w:b w:val="false"/>
          <w:i w:val="false"/>
          <w:caps w:val="false"/>
          <w:smallCaps w:val="false"/>
          <w:sz w:val="20"/>
        </w:rPr>
        <w:t>6.45 per share with an exercise price of $</w:t>
      </w:r>
      <w:bookmarkStart w:id="744" w:name="xdx_904_eus-gaap--ClassOfWarrantOrRightE"/>
      <w:bookmarkEnd w:id="744"/>
      <w:r>
        <w:rPr>
          <w:rFonts w:ascii="Times New Roman;Times;Serif" w:hAnsi="Times New Roman;Times;Serif"/>
          <w:b w:val="false"/>
          <w:i w:val="false"/>
          <w:caps w:val="false"/>
          <w:smallCaps w:val="false"/>
          <w:sz w:val="20"/>
        </w:rPr>
        <w:t xml:space="preserve">0.05 per share (the “pre-funded warrants”). The pre-funded warrants are exercisable upon issuance and will remain exercisable until all the pre-funded warrants are exercised in full. Pre-funded warrants for </w:t>
      </w:r>
      <w:bookmarkStart w:id="745" w:name="xdx_904_ecustom--ShareBasedCompensationA"/>
      <w:bookmarkEnd w:id="745"/>
      <w:r>
        <w:rPr>
          <w:rFonts w:ascii="Times New Roman;Times;Serif" w:hAnsi="Times New Roman;Times;Serif"/>
          <w:b w:val="false"/>
          <w:i w:val="false"/>
          <w:caps w:val="false"/>
          <w:smallCaps w:val="false"/>
          <w:sz w:val="20"/>
        </w:rPr>
        <w:t xml:space="preserve">188,257 common shares were exercised during the year ended December 31, 2024. At June 30, 2026 pre-funded warrants for </w:t>
      </w:r>
      <w:bookmarkStart w:id="746" w:name="xdx_905_eus-gaap--ClassOfWarrantOrRightO"/>
      <w:bookmarkEnd w:id="746"/>
      <w:r>
        <w:rPr>
          <w:rFonts w:ascii="Times New Roman;Times;Serif" w:hAnsi="Times New Roman;Times;Serif"/>
          <w:b w:val="false"/>
          <w:i w:val="false"/>
          <w:caps w:val="false"/>
          <w:smallCaps w:val="false"/>
          <w:sz w:val="20"/>
        </w:rPr>
        <w:t>51,199 common shares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6, 2024, upon the closing of a public offering, </w:t>
      </w:r>
      <w:bookmarkStart w:id="747" w:name="xdx_906_eus-gaap--ShareBasedCompensation"/>
      <w:bookmarkEnd w:id="747"/>
      <w:r>
        <w:rPr>
          <w:rFonts w:ascii="Times New Roman;Times;Serif" w:hAnsi="Times New Roman;Times;Serif"/>
          <w:b w:val="false"/>
          <w:i w:val="false"/>
          <w:caps w:val="false"/>
          <w:smallCaps w:val="false"/>
          <w:sz w:val="20"/>
        </w:rPr>
        <w:t>16,019 warrants were issued to the placement agent. These warrants were not exercisable until March 5, 2025 and expire on September 6,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20, 2024, the Company closed its private placement transaction resulting in the issuance of newly designated Series A-2 Preferred Stock. As a result of the issuance of a new class of voting securities, the Company evaluated its equity classified compensatory warrants’ respective terms, and concluded that compensatory warrants to purchase </w:t>
      </w:r>
      <w:bookmarkStart w:id="748" w:name="xdx_903_eus-gaap--ClassOfWarrantOrRightN"/>
      <w:bookmarkEnd w:id="748"/>
      <w:r>
        <w:rPr>
          <w:rFonts w:ascii="Times New Roman;Times;Serif" w:hAnsi="Times New Roman;Times;Serif"/>
          <w:b w:val="false"/>
          <w:i w:val="false"/>
          <w:caps w:val="false"/>
          <w:smallCaps w:val="false"/>
          <w:sz w:val="20"/>
        </w:rPr>
        <w:t>1,353 common shares with a weighted average exercise price of $</w:t>
      </w:r>
      <w:bookmarkStart w:id="749" w:name="xdx_908_ecustom--ShareBasedCompensationA"/>
      <w:bookmarkEnd w:id="749"/>
      <w:r>
        <w:rPr>
          <w:rFonts w:ascii="Times New Roman;Times;Serif" w:hAnsi="Times New Roman;Times;Serif"/>
          <w:b w:val="false"/>
          <w:i w:val="false"/>
          <w:caps w:val="false"/>
          <w:smallCaps w:val="false"/>
          <w:sz w:val="20"/>
        </w:rPr>
        <w:t>6.50 and a fair value of $</w:t>
      </w:r>
      <w:bookmarkStart w:id="750" w:name="xdx_900_ecustom--FairValueOfWarrantsRecl"/>
      <w:bookmarkEnd w:id="750"/>
      <w:r>
        <w:rPr>
          <w:rFonts w:ascii="Times New Roman;Times;Serif" w:hAnsi="Times New Roman;Times;Serif"/>
          <w:b w:val="false"/>
          <w:i w:val="false"/>
          <w:caps w:val="false"/>
          <w:smallCaps w:val="false"/>
          <w:sz w:val="20"/>
        </w:rPr>
        <w:t>904 were required to be reclassified to liabilities as of November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2025 as a result of the down-round provision triggered by the issuance of the 2025 Convertible Note (see Note 9 - Convertible Debt), warrants for </w:t>
      </w:r>
      <w:bookmarkStart w:id="751" w:name="xdx_90C_eus-gaap--ClassOfWarrantOrRightN"/>
      <w:bookmarkEnd w:id="751"/>
      <w:r>
        <w:rPr>
          <w:rFonts w:ascii="Times New Roman;Times;Serif" w:hAnsi="Times New Roman;Times;Serif"/>
          <w:b w:val="false"/>
          <w:i w:val="false"/>
          <w:caps w:val="false"/>
          <w:smallCaps w:val="false"/>
          <w:sz w:val="20"/>
        </w:rPr>
        <w:t>54,002 common shares were repriced from $</w:t>
      </w:r>
      <w:bookmarkStart w:id="752" w:name="xdx_905_eus-gaap--ClassOfWarrantOrRightE"/>
      <w:bookmarkEnd w:id="752"/>
      <w:r>
        <w:rPr>
          <w:rFonts w:ascii="Times New Roman;Times;Serif" w:hAnsi="Times New Roman;Times;Serif"/>
          <w:b w:val="false"/>
          <w:i w:val="false"/>
          <w:caps w:val="false"/>
          <w:smallCaps w:val="false"/>
          <w:sz w:val="20"/>
        </w:rPr>
        <w:t>6.50 per share exercise price to $</w:t>
      </w:r>
      <w:bookmarkStart w:id="753" w:name="xdx_907_eus-gaap--ClassOfWarrantOrRightE"/>
      <w:bookmarkEnd w:id="753"/>
      <w:r>
        <w:rPr>
          <w:rFonts w:ascii="Times New Roman;Times;Serif" w:hAnsi="Times New Roman;Times;Serif"/>
          <w:b w:val="false"/>
          <w:i w:val="false"/>
          <w:caps w:val="false"/>
          <w:smallCaps w:val="false"/>
          <w:sz w:val="20"/>
        </w:rPr>
        <w:t>5.82 per share exercise price. The company recognized a deemed dividend of $</w:t>
      </w:r>
      <w:bookmarkStart w:id="754" w:name="xdx_90D_ecustom--DeemedDividendArisingFr"/>
      <w:bookmarkEnd w:id="754"/>
      <w:r>
        <w:rPr>
          <w:rFonts w:ascii="Times New Roman;Times;Serif" w:hAnsi="Times New Roman;Times;Serif"/>
          <w:b w:val="false"/>
          <w:i w:val="false"/>
          <w:caps w:val="false"/>
          <w:smallCaps w:val="false"/>
          <w:sz w:val="20"/>
        </w:rPr>
        <w:t>1,586,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unaudited condensed consolidated statements of changes in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above, on September 29, 2025, </w:t>
      </w:r>
      <w:bookmarkStart w:id="755" w:name="xdx_903_eus-gaap--ClassOfWarrantOrRightN"/>
      <w:bookmarkEnd w:id="755"/>
      <w:r>
        <w:rPr>
          <w:rFonts w:ascii="Times New Roman;Times;Serif" w:hAnsi="Times New Roman;Times;Serif"/>
          <w:b w:val="false"/>
          <w:i w:val="false"/>
          <w:caps w:val="false"/>
          <w:smallCaps w:val="false"/>
          <w:sz w:val="20"/>
        </w:rPr>
        <w:t>1,087,266 Placement Agent Warrants were issued. The Placement Agent Warrants were immediately exercisable and have an initial exercise price of $</w:t>
      </w:r>
      <w:bookmarkStart w:id="756" w:name="xdx_90A_eus-gaap--ClassOfWarrantOrRightE"/>
      <w:bookmarkEnd w:id="756"/>
      <w:r>
        <w:rPr>
          <w:rFonts w:ascii="Times New Roman;Times;Serif" w:hAnsi="Times New Roman;Times;Serif"/>
          <w:b w:val="false"/>
          <w:i w:val="false"/>
          <w:caps w:val="false"/>
          <w:smallCaps w:val="false"/>
          <w:sz w:val="20"/>
        </w:rPr>
        <w:t xml:space="preserve">2.47 per share. At June 30, 2026, </w:t>
      </w:r>
      <w:bookmarkStart w:id="757" w:name="xdx_903_eus-gaap--ClassOfWarrantOrRightO"/>
      <w:bookmarkEnd w:id="757"/>
      <w:r>
        <w:rPr>
          <w:rFonts w:ascii="Times New Roman;Times;Serif" w:hAnsi="Times New Roman;Times;Serif"/>
          <w:b w:val="false"/>
          <w:i w:val="false"/>
          <w:caps w:val="false"/>
          <w:smallCaps w:val="false"/>
          <w:sz w:val="20"/>
        </w:rPr>
        <w:t>1,087,266 Placement Agent Warrants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8" w:name="xdx_893_ecustom--SummaryOfWarrantActivit"/>
      <w:bookmarkEnd w:id="758"/>
      <w:r>
        <w:rPr>
          <w:rFonts w:ascii="Times New Roman;Times;Serif" w:hAnsi="Times New Roman;Times;Serif"/>
          <w:b w:val="false"/>
          <w:i w:val="false"/>
          <w:caps w:val="false"/>
          <w:smallCaps w:val="false"/>
          <w:sz w:val="20"/>
        </w:rPr>
        <w:t>The following table summarizes the noncompensatory equity classified warrant activity for the six months ended June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9" w:name="xdx_8B9_ztKh5VlVmrKd"/>
      <w:bookmarkEnd w:id="759"/>
      <w:r>
        <w:rPr>
          <w:rFonts w:ascii="Times New Roman;Times;Serif" w:hAnsi="Times New Roman;Times;Serif"/>
          <w:b w:val="false"/>
          <w:i w:val="false"/>
          <w:caps w:val="false"/>
          <w:smallCaps w:val="false"/>
          <w:sz w:val="20"/>
        </w:rPr>
        <w:t>SCHEDULE OF NON COMPENSATORY WARRANT ACTIVITY </w:t>
      </w:r>
    </w:p>
    <w:tbl>
      <w:tblPr>
        <w:tblW w:w="7918" w:type="dxa"/>
        <w:jc w:val="left"/>
        <w:tblInd w:w="0" w:type="dxa"/>
        <w:tblLayout w:type="fixed"/>
        <w:tblCellMar>
          <w:top w:w="0" w:type="dxa"/>
          <w:left w:w="0" w:type="dxa"/>
          <w:bottom w:w="0" w:type="dxa"/>
          <w:right w:w="0" w:type="dxa"/>
        </w:tblCellMar>
      </w:tblPr>
      <w:tblGrid>
        <w:gridCol w:w="3260"/>
        <w:gridCol w:w="60"/>
        <w:gridCol w:w="60"/>
        <w:gridCol w:w="845"/>
        <w:gridCol w:w="60"/>
        <w:gridCol w:w="60"/>
        <w:gridCol w:w="230"/>
        <w:gridCol w:w="704"/>
        <w:gridCol w:w="60"/>
        <w:gridCol w:w="60"/>
        <w:gridCol w:w="125"/>
        <w:gridCol w:w="1175"/>
        <w:gridCol w:w="60"/>
        <w:gridCol w:w="60"/>
        <w:gridCol w:w="139"/>
        <w:gridCol w:w="885"/>
        <w:gridCol w:w="75"/>
      </w:tblGrid>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2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outstanding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0" w:name="xdx_98E_eus-gaap--ShareBasedCompensation"/>
            <w:bookmarkEnd w:id="760"/>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1,159,270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61" w:name="xdx_98D_ecustom--ShareBasedCompensationA"/>
            <w:bookmarkEnd w:id="761"/>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62" w:name="xdx_909_ecustom--RangeOfExercisePriceOut"/>
            <w:bookmarkEnd w:id="762"/>
            <w:r>
              <w:rPr>
                <w:rFonts w:ascii="Times New Roman;Times;Serif" w:hAnsi="Times New Roman;Times;Serif"/>
                <w:b w:val="false"/>
                <w:i w:val="false"/>
                <w:caps w:val="false"/>
                <w:smallCaps w:val="false"/>
                <w:sz w:val="20"/>
              </w:rPr>
              <w:t>2.47 — $</w:t>
            </w:r>
            <w:bookmarkStart w:id="763" w:name="xdx_90E_ecustom--RangeOfExercisePriceOut"/>
            <w:bookmarkEnd w:id="763"/>
            <w:r>
              <w:rPr>
                <w:rFonts w:ascii="Times New Roman;Times;Serif" w:hAnsi="Times New Roman;Times;Serif"/>
                <w:b w:val="false"/>
                <w:i w:val="false"/>
                <w:caps w:val="false"/>
                <w:smallCaps w:val="false"/>
                <w:sz w:val="20"/>
              </w:rPr>
              <w:t xml:space="preserve">6.50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64" w:name="xdx_90F_ecustom--ShareBasedCompensationA"/>
            <w:bookmarkEnd w:id="764"/>
            <w:r>
              <w:rPr>
                <w:rFonts w:ascii="Times New Roman;Times;Serif" w:hAnsi="Times New Roman;Times;Serif"/>
                <w:b w:val="false"/>
                <w:i w:val="false"/>
                <w:caps w:val="false"/>
                <w:smallCaps w:val="false"/>
                <w:sz w:val="20"/>
              </w:rPr>
              <w:t>4.64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65" w:name="xdx_981_eus-gaap--ShareBasedCompensation"/>
            <w:bookmarkEnd w:id="765"/>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66" w:name="xdx_98B_ecustom--ShareBasedCompensationA"/>
            <w:bookmarkEnd w:id="766"/>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bookmarkStart w:id="767" w:name="xdx_90B_ecustom--RangeOfExercisePriceExe"/>
            <w:bookmarkEnd w:id="767"/>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8" w:name="xdx_988_eus-gaap--ShareBasedCompensation"/>
            <w:bookmarkEnd w:id="768"/>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9" w:name="xdx_987_ecustom--ShareBasedCompensationA"/>
            <w:bookmarkEnd w:id="769"/>
          </w:p>
        </w:tc>
        <w:tc>
          <w:tcPr>
            <w:tcW w:w="7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caps w:val="false"/>
                <w:smallCaps w:val="false"/>
              </w:rPr>
            </w:pPr>
            <w:bookmarkStart w:id="770" w:name="xdx_905_ecustom--RangeOfExercisePriceExe"/>
            <w:bookmarkEnd w:id="770"/>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71" w:name="xdx_98F_eus-gaap--ShareBasedCompensation"/>
            <w:bookmarkEnd w:id="771"/>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72" w:name="xdx_987_ecustom--ShareBasedCompensationA"/>
            <w:bookmarkEnd w:id="772"/>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bookmarkStart w:id="773" w:name="xdx_906_ecustom--ShareBasedCompensationA"/>
            <w:bookmarkEnd w:id="773"/>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74" w:name="xdx_988_eus-gaap--ShareBasedCompensation"/>
            <w:bookmarkEnd w:id="774"/>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75" w:name="xdx_983_ecustom--ShareBasedCompensationA"/>
            <w:bookmarkEnd w:id="775"/>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bookmarkStart w:id="776" w:name="xdx_90D_ecustom--ShareBasedCompensationA"/>
            <w:bookmarkEnd w:id="776"/>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outstanding –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77" w:name="xdx_984_eus-gaap--ShareBasedCompensation"/>
            <w:bookmarkEnd w:id="777"/>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1,159,270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8" w:name="xdx_986_ecustom--ShareBasedCompensationA"/>
            <w:bookmarkEnd w:id="778"/>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79" w:name="xdx_900_ecustom--RangeOfExercisePriceOut"/>
            <w:bookmarkEnd w:id="779"/>
            <w:r>
              <w:rPr>
                <w:rFonts w:ascii="Times New Roman;Times;Serif" w:hAnsi="Times New Roman;Times;Serif"/>
                <w:b w:val="false"/>
                <w:i w:val="false"/>
                <w:caps w:val="false"/>
                <w:smallCaps w:val="false"/>
                <w:sz w:val="20"/>
              </w:rPr>
              <w:t>2.47 — $</w:t>
            </w:r>
            <w:bookmarkStart w:id="780" w:name="xdx_900_ecustom--RangeOfExercisePriceOut"/>
            <w:bookmarkEnd w:id="780"/>
            <w:r>
              <w:rPr>
                <w:rFonts w:ascii="Times New Roman;Times;Serif" w:hAnsi="Times New Roman;Times;Serif"/>
                <w:b w:val="false"/>
                <w:i w:val="false"/>
                <w:caps w:val="false"/>
                <w:smallCaps w:val="false"/>
                <w:sz w:val="20"/>
              </w:rPr>
              <w:t xml:space="preserve">6.50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81" w:name="xdx_90B_ecustom--ShareBasedCompensationA"/>
            <w:bookmarkEnd w:id="781"/>
            <w:r>
              <w:rPr>
                <w:rFonts w:ascii="Times New Roman;Times;Serif" w:hAnsi="Times New Roman;Times;Serif"/>
                <w:b w:val="false"/>
                <w:i w:val="false"/>
                <w:caps w:val="false"/>
                <w:smallCaps w:val="false"/>
                <w:sz w:val="20"/>
              </w:rPr>
              <w:t>4.14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82" w:name="xdx_988_ecustom--ShareBasedCompensationA"/>
            <w:bookmarkEnd w:id="782"/>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1,159,270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83" w:name="xdx_98D_ecustom--ShareBasedCompensationA"/>
            <w:bookmarkEnd w:id="783"/>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84" w:name="xdx_90E_ecustom--RangeOfExercisePriceExe"/>
            <w:bookmarkEnd w:id="784"/>
            <w:r>
              <w:rPr>
                <w:rFonts w:ascii="Times New Roman;Times;Serif" w:hAnsi="Times New Roman;Times;Serif"/>
                <w:b w:val="false"/>
                <w:i w:val="false"/>
                <w:caps w:val="false"/>
                <w:smallCaps w:val="false"/>
                <w:sz w:val="20"/>
              </w:rPr>
              <w:t>2.47 — $</w:t>
            </w:r>
            <w:bookmarkStart w:id="785" w:name="xdx_90C_ecustom--RangeOfExercisePriceExe"/>
            <w:bookmarkEnd w:id="785"/>
            <w:r>
              <w:rPr>
                <w:rFonts w:ascii="Times New Roman;Times;Serif" w:hAnsi="Times New Roman;Times;Serif"/>
                <w:b w:val="false"/>
                <w:i w:val="false"/>
                <w:caps w:val="false"/>
                <w:smallCaps w:val="false"/>
                <w:sz w:val="20"/>
              </w:rPr>
              <w:t xml:space="preserve">6.50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86" w:name="xdx_907_ecustom--ShareBasedCompensationA"/>
            <w:bookmarkEnd w:id="786"/>
            <w:r>
              <w:rPr>
                <w:rFonts w:ascii="Times New Roman;Times;Serif" w:hAnsi="Times New Roman;Times;Serif"/>
                <w:b w:val="false"/>
                <w:i w:val="false"/>
                <w:caps w:val="false"/>
                <w:smallCaps w:val="false"/>
                <w:sz w:val="20"/>
              </w:rPr>
              <w:t>4.14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Non-Exercisable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87" w:name="xdx_985_ecustom--ShareBasedCompensationA"/>
            <w:bookmarkEnd w:id="787"/>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88" w:name="xdx_984_ecustom--ShareBasedCompensationA"/>
            <w:bookmarkEnd w:id="788"/>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bookmarkStart w:id="789" w:name="xdx_907_ecustom--RangeOfExercisePriceNon"/>
            <w:bookmarkEnd w:id="789"/>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noncompensatory equity classified warrant activity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7663" w:type="dxa"/>
        <w:jc w:val="left"/>
        <w:tblInd w:w="0" w:type="dxa"/>
        <w:tblLayout w:type="fixed"/>
        <w:tblCellMar>
          <w:top w:w="0" w:type="dxa"/>
          <w:left w:w="0" w:type="dxa"/>
          <w:bottom w:w="0" w:type="dxa"/>
          <w:right w:w="0" w:type="dxa"/>
        </w:tblCellMar>
      </w:tblPr>
      <w:tblGrid>
        <w:gridCol w:w="3260"/>
        <w:gridCol w:w="60"/>
        <w:gridCol w:w="60"/>
        <w:gridCol w:w="590"/>
        <w:gridCol w:w="60"/>
        <w:gridCol w:w="60"/>
        <w:gridCol w:w="230"/>
        <w:gridCol w:w="704"/>
        <w:gridCol w:w="60"/>
        <w:gridCol w:w="60"/>
        <w:gridCol w:w="125"/>
        <w:gridCol w:w="1175"/>
        <w:gridCol w:w="60"/>
        <w:gridCol w:w="60"/>
        <w:gridCol w:w="139"/>
        <w:gridCol w:w="885"/>
        <w:gridCol w:w="75"/>
      </w:tblGrid>
      <w:tr>
        <w:trPr/>
        <w:tc>
          <w:tcPr>
            <w:tcW w:w="32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6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outstanding –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0" w:name="xdx_987_eus-gaap--ShareBasedCompensation"/>
            <w:bookmarkEnd w:id="790"/>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91" w:name="xdx_98A_ecustom--ShareBasedCompensationA"/>
            <w:bookmarkEnd w:id="791"/>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92" w:name="xdx_90D_ecustom--RangeOfExercisePriceOut"/>
            <w:bookmarkEnd w:id="792"/>
            <w:r>
              <w:rPr>
                <w:rFonts w:ascii="Times New Roman;Times;Serif" w:hAnsi="Times New Roman;Times;Serif"/>
                <w:b w:val="false"/>
                <w:i w:val="false"/>
                <w:caps w:val="false"/>
                <w:smallCaps w:val="false"/>
                <w:sz w:val="20"/>
              </w:rPr>
              <w:t>6.50 — $</w:t>
            </w:r>
            <w:bookmarkStart w:id="793" w:name="xdx_904_ecustom--RangeOfExercisePriceOut"/>
            <w:bookmarkEnd w:id="793"/>
            <w:r>
              <w:rPr>
                <w:rFonts w:ascii="Times New Roman;Times;Serif" w:hAnsi="Times New Roman;Times;Serif"/>
                <w:b w:val="false"/>
                <w:i w:val="false"/>
                <w:caps w:val="false"/>
                <w:smallCaps w:val="false"/>
                <w:sz w:val="20"/>
              </w:rPr>
              <w:t xml:space="preserve">6.50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94" w:name="xdx_90E_ecustom--ShareBasedCompensationA"/>
            <w:bookmarkEnd w:id="794"/>
            <w:r>
              <w:rPr>
                <w:rFonts w:ascii="Times New Roman;Times;Serif" w:hAnsi="Times New Roman;Times;Serif"/>
                <w:b w:val="false"/>
                <w:i w:val="false"/>
                <w:caps w:val="false"/>
                <w:smallCaps w:val="false"/>
                <w:sz w:val="20"/>
              </w:rPr>
              <w:t>3.99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5" w:name="xdx_98A_eus-gaap--ShareBasedCompensation"/>
            <w:bookmarkEnd w:id="795"/>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6" w:name="xdx_98A_ecustom--ShareBasedCompensationA"/>
            <w:bookmarkEnd w:id="796"/>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bookmarkStart w:id="797" w:name="xdx_90A_ecustom--RangeOfExercisePriceExe"/>
            <w:bookmarkEnd w:id="797"/>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8" w:name="xdx_983_eus-gaap--ShareBasedCompensation"/>
            <w:bookmarkEnd w:id="798"/>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9" w:name="xdx_98F_ecustom--ShareBasedCompensationA"/>
            <w:bookmarkEnd w:id="799"/>
          </w:p>
        </w:tc>
        <w:tc>
          <w:tcPr>
            <w:tcW w:w="7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caps w:val="false"/>
                <w:smallCaps w:val="false"/>
              </w:rPr>
            </w:pPr>
            <w:bookmarkStart w:id="800" w:name="xdx_904_ecustom--RangeOfExercisePriceExe"/>
            <w:bookmarkEnd w:id="800"/>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1" w:name="xdx_98D_eus-gaap--ShareBasedCompensation"/>
            <w:bookmarkEnd w:id="801"/>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2" w:name="xdx_988_ecustom--ShareBasedCompensationA"/>
            <w:bookmarkEnd w:id="802"/>
          </w:p>
        </w:tc>
        <w:tc>
          <w:tcPr>
            <w:tcW w:w="7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bookmarkStart w:id="803" w:name="xdx_905_ecustom--ShareBasedCompensationA"/>
            <w:bookmarkEnd w:id="803"/>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04" w:name="xdx_98F_eus-gaap--ShareBasedCompensation"/>
            <w:bookmarkEnd w:id="804"/>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05" w:name="xdx_981_ecustom--ShareBasedCompensationA"/>
            <w:bookmarkEnd w:id="805"/>
          </w:p>
        </w:tc>
        <w:tc>
          <w:tcPr>
            <w:tcW w:w="70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bookmarkStart w:id="806" w:name="xdx_905_ecustom--ShareBasedCompensationA"/>
            <w:bookmarkEnd w:id="806"/>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outstanding –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07" w:name="xdx_98B_eus-gaap--ShareBasedCompensation"/>
            <w:bookmarkEnd w:id="807"/>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08" w:name="xdx_985_ecustom--ShareBasedCompensationA"/>
            <w:bookmarkEnd w:id="808"/>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809" w:name="xdx_901_ecustom--RangeOfExercisePriceOut"/>
            <w:bookmarkEnd w:id="809"/>
            <w:r>
              <w:rPr>
                <w:rFonts w:ascii="Times New Roman;Times;Serif" w:hAnsi="Times New Roman;Times;Serif"/>
                <w:b w:val="false"/>
                <w:i w:val="false"/>
                <w:caps w:val="false"/>
                <w:smallCaps w:val="false"/>
                <w:sz w:val="20"/>
              </w:rPr>
              <w:t>6.50 — $</w:t>
            </w:r>
            <w:bookmarkStart w:id="810" w:name="xdx_903_ecustom--RangeOfExercisePriceOut"/>
            <w:bookmarkEnd w:id="810"/>
            <w:r>
              <w:rPr>
                <w:rFonts w:ascii="Times New Roman;Times;Serif" w:hAnsi="Times New Roman;Times;Serif"/>
                <w:b w:val="false"/>
                <w:i w:val="false"/>
                <w:caps w:val="false"/>
                <w:smallCaps w:val="false"/>
                <w:sz w:val="20"/>
              </w:rPr>
              <w:t xml:space="preserve">6.50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811" w:name="xdx_901_ecustom--ShareBasedCompensationA"/>
            <w:bookmarkEnd w:id="811"/>
            <w:r>
              <w:rPr>
                <w:rFonts w:ascii="Times New Roman;Times;Serif" w:hAnsi="Times New Roman;Times;Serif"/>
                <w:b w:val="false"/>
                <w:i w:val="false"/>
                <w:caps w:val="false"/>
                <w:smallCaps w:val="false"/>
                <w:sz w:val="20"/>
              </w:rPr>
              <w:t>3.49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12" w:name="xdx_984_ecustom--ShareBasedCompensationA"/>
            <w:bookmarkEnd w:id="812"/>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13" w:name="xdx_986_ecustom--ShareBasedCompensationA"/>
            <w:bookmarkEnd w:id="813"/>
          </w:p>
        </w:tc>
        <w:tc>
          <w:tcPr>
            <w:tcW w:w="7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814" w:name="xdx_904_ecustom--RangeOfExercisePriceExe"/>
            <w:bookmarkEnd w:id="814"/>
            <w:r>
              <w:rPr>
                <w:rFonts w:ascii="Times New Roman;Times;Serif" w:hAnsi="Times New Roman;Times;Serif"/>
                <w:b w:val="false"/>
                <w:i w:val="false"/>
                <w:caps w:val="false"/>
                <w:smallCaps w:val="false"/>
                <w:sz w:val="20"/>
              </w:rPr>
              <w:t>6.50 — $</w:t>
            </w:r>
            <w:bookmarkStart w:id="815" w:name="xdx_905_ecustom--RangeOfExercisePriceExe"/>
            <w:bookmarkEnd w:id="815"/>
            <w:r>
              <w:rPr>
                <w:rFonts w:ascii="Times New Roman;Times;Serif" w:hAnsi="Times New Roman;Times;Serif"/>
                <w:b w:val="false"/>
                <w:i w:val="false"/>
                <w:caps w:val="false"/>
                <w:smallCaps w:val="false"/>
                <w:sz w:val="20"/>
              </w:rPr>
              <w:t xml:space="preserve">6.50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816" w:name="xdx_904_ecustom--ShareBasedCompensationA"/>
            <w:bookmarkEnd w:id="816"/>
            <w:r>
              <w:rPr>
                <w:rFonts w:ascii="Times New Roman;Times;Serif" w:hAnsi="Times New Roman;Times;Serif"/>
                <w:b w:val="false"/>
                <w:i w:val="false"/>
                <w:caps w:val="false"/>
                <w:smallCaps w:val="false"/>
                <w:sz w:val="20"/>
              </w:rPr>
              <w:t>3.49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Non-Exercisable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17" w:name="xdx_982_ecustom--ShareBasedCompensationA"/>
            <w:bookmarkEnd w:id="817"/>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18" w:name="xdx_989_ecustom--ShareBasedCompensationA"/>
            <w:bookmarkEnd w:id="818"/>
          </w:p>
        </w:tc>
        <w:tc>
          <w:tcPr>
            <w:tcW w:w="704"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bookmarkStart w:id="819" w:name="xdx_903_ecustom--RangeOfExercisePriceNon"/>
            <w:bookmarkEnd w:id="819"/>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820" w:name="xdx_8A6_zGJyvgMkoYg8"/>
      <w:bookmarkEnd w:id="82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1" w:name="xdx_805_eus-gaap--InvestmentTextBlock_zt"/>
      <w:bookmarkEnd w:id="821"/>
      <w:r>
        <w:rPr>
          <w:rFonts w:ascii="Times New Roman;Times;Serif" w:hAnsi="Times New Roman;Times;Serif"/>
          <w:b/>
          <w:i w:val="false"/>
          <w:caps w:val="false"/>
          <w:smallCaps w:val="false"/>
          <w:sz w:val="20"/>
        </w:rPr>
        <w:t xml:space="preserve">NOTE 15 — </w:t>
      </w:r>
      <w:bookmarkStart w:id="822" w:name="xdx_82D_z6yYSnC5pW3l"/>
      <w:bookmarkEnd w:id="822"/>
      <w:r>
        <w:rPr>
          <w:rFonts w:ascii="Times New Roman;Times;Serif" w:hAnsi="Times New Roman;Times;Serif"/>
          <w:b/>
          <w:i w:val="false"/>
          <w:caps w:val="false"/>
          <w:smallCaps w:val="false"/>
          <w:sz w:val="20"/>
        </w:rPr>
        <w:t>PARENT COMPANY EQUITY HELD AT COST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established an entrusted investment arrangement with GKA, acting as fiduciary, to indirectly acquire equity securities of FFAI, the Company’s majority stockholder. The transaction was completed through staged agreement executions and fund contributions, with final closing occurring on April 15,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823" w:name="xdx_90D_ecustom--InvestmentAgreementDesc"/>
      <w:bookmarkEnd w:id="823"/>
      <w:r>
        <w:rPr>
          <w:rFonts w:ascii="Times New Roman;Times;Serif" w:hAnsi="Times New Roman;Times;Serif"/>
          <w:b w:val="false"/>
          <w:i w:val="false"/>
          <w:caps w:val="false"/>
          <w:smallCaps w:val="false"/>
          <w:sz w:val="20"/>
        </w:rPr>
        <w:t>On January 30, 2026, the Company entered into the initial entrusted investment agreement with GKA and remitted $10.0 million in initial prepaid investment funds, which were designated for subscription to FFAI equity securities. On April 10, 2026, the parties executed an amendment to the entrusted investment agreement, pursuant to which the Company advanced an additional $2.0 million in short-term bridge funding to FFAI through GKA, with interest accruing from the advance date through closing. At the April 15, 2026, closing, the $</w:t>
      </w:r>
      <w:bookmarkStart w:id="824" w:name="xdx_90F_ecustom--PrepaidInvestments_iI_p"/>
      <w:bookmarkEnd w:id="824"/>
      <w:r>
        <w:rPr>
          <w:rFonts w:ascii="Times New Roman;Times;Serif" w:hAnsi="Times New Roman;Times;Serif"/>
          <w:b w:val="false"/>
          <w:i w:val="false"/>
          <w:caps w:val="false"/>
          <w:smallCaps w:val="false"/>
          <w:sz w:val="20"/>
        </w:rPr>
        <w:t>10.0 million initial prepaid principal, the $</w:t>
      </w:r>
      <w:bookmarkStart w:id="825" w:name="xdx_90B_ecustom--AdvancedFundingIntoTrea"/>
      <w:bookmarkEnd w:id="825"/>
      <w:r>
        <w:rPr>
          <w:rFonts w:ascii="Times New Roman;Times;Serif" w:hAnsi="Times New Roman;Times;Serif"/>
          <w:b w:val="false"/>
          <w:i w:val="false"/>
          <w:caps w:val="false"/>
          <w:smallCaps w:val="false"/>
          <w:sz w:val="20"/>
        </w:rPr>
        <w:t>2.0 million additional bridge principal, and $</w:t>
      </w:r>
      <w:bookmarkStart w:id="826" w:name="xdx_900_ecustom--AccruedLoanInterest_c20"/>
      <w:bookmarkEnd w:id="826"/>
      <w:r>
        <w:rPr>
          <w:rFonts w:ascii="Times New Roman;Times;Serif" w:hAnsi="Times New Roman;Times;Serif"/>
          <w:b w:val="false"/>
          <w:i w:val="false"/>
          <w:caps w:val="false"/>
          <w:smallCaps w:val="false"/>
          <w:sz w:val="20"/>
        </w:rPr>
        <w:t>2,192 of accrued bridge loan interest were collectively applied toward the $</w:t>
      </w:r>
      <w:bookmarkStart w:id="827" w:name="xdx_903_ecustom--ParentCompanyEquityHeld"/>
      <w:bookmarkEnd w:id="827"/>
      <w:r>
        <w:rPr>
          <w:rFonts w:ascii="Times New Roman;Times;Serif" w:hAnsi="Times New Roman;Times;Serif"/>
          <w:b w:val="false"/>
          <w:i w:val="false"/>
          <w:caps w:val="false"/>
          <w:smallCaps w:val="false"/>
          <w:sz w:val="20"/>
        </w:rPr>
        <w:t>12,002,192 aggregate subscription amount under the amended and restated securities purchase agreement, in exchange for 1,926,337 shares of FFAI Class A common stock and 11,502 shares of FFAI Series C Convertible Preferred Stock. FFAI also issued GKA a four-year stock purchase warrant (“FFAI warrant”), which entitles the registered holder to acquire up to 1,000,000 shares of Class A common stock at an exercise price of $1.50 per share. The FFAI warrant becomes exercisable only after FFAI completes delivery of its 500th FX Super One vehicle, and is subject to the stated ownership and Nasdaq issuance limitations. Management evaluated the FFAI warrant and concluded that it does not represent a separately recognizable unit of account and that no portion of the aggregate subscription price is required to be allocated to the FFAI warrant, based on the FFAI warrant is held by GKA as fiduciary on behalf of AIxC as part of the entrusted investment and is an integral component of the parent-directed transaction accounted for as contra-equity.</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total carrying value of the Company’s indirect investment in FFAI’s common and preferred shares was $</w:t>
      </w:r>
      <w:bookmarkStart w:id="828" w:name="xdx_902_ecustom--ParentCompanyEquityHeld"/>
      <w:bookmarkEnd w:id="828"/>
      <w:r>
        <w:rPr>
          <w:rFonts w:ascii="Times New Roman;Times;Serif" w:hAnsi="Times New Roman;Times;Serif"/>
          <w:b w:val="false"/>
          <w:i w:val="false"/>
          <w:caps w:val="false"/>
          <w:smallCaps w:val="false"/>
          <w:sz w:val="20"/>
        </w:rPr>
        <w:t>12,002,192. At closing, the Company recorded the full aggregate subscription amount into parent company equity held at cost, a contra-equity account measured at historical cost and no separate accounting entry is recorded for the FFAI warrant. This accounting treatment applies uniformly to both the FFAI Class A common stock and Series C Convertible Preferred Stock, with no subsequent fair value remeasurement recognized in the condensed consolidated financial statements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9" w:name="xdx_80B_eus-gaap--RelatedPartyTransactio"/>
      <w:bookmarkEnd w:id="829"/>
      <w:r>
        <w:rPr>
          <w:rFonts w:ascii="Times New Roman;Times;Serif" w:hAnsi="Times New Roman;Times;Serif"/>
          <w:b/>
          <w:i w:val="false"/>
          <w:caps w:val="false"/>
          <w:smallCaps w:val="false"/>
          <w:sz w:val="20"/>
        </w:rPr>
        <w:t xml:space="preserve">NOTE 16 — </w:t>
      </w:r>
      <w:bookmarkStart w:id="830" w:name="xdx_82A_zcjpm5tMHBth"/>
      <w:bookmarkEnd w:id="830"/>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 Investor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Subscription Agreement, the Company and Faraday Future Intelligent Electric Inc. entered into a Lead Investor Agreement. Pursuant to this agreement, Faraday committed to invest a minimum of $</w:t>
      </w:r>
      <w:bookmarkStart w:id="831" w:name="xdx_90B_eus-gaap--Investments_iI_pn6n6_c"/>
      <w:bookmarkEnd w:id="831"/>
      <w:r>
        <w:rPr>
          <w:rFonts w:ascii="Times New Roman;Times;Serif" w:hAnsi="Times New Roman;Times;Serif"/>
          <w:b w:val="false"/>
          <w:i w:val="false"/>
          <w:caps w:val="false"/>
          <w:smallCaps w:val="false"/>
          <w:sz w:val="20"/>
        </w:rPr>
        <w:t>30 million in a Private Placement. The material terms of the Lead Investor Agreement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Reserve &amp; Crypto Custody: The Company will adopt a Treasury Reserve Policy establishing cryptocurrencies as its primary ongoing treasury reserve asset.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Appointments: Concurrent with the closing, Faraday appointed Jiawei Wang as CoChief Executive Officer and Koti Meka as Chief Financial Officer. The Faraday-appointed Co-CEO is solely responsible for all non-legacy business operations and has been granted sole access to all crypto-related accounts of the Company, subject to delegation. </w:t>
            </w:r>
            <w:r>
              <w:rPr>
                <w:rFonts w:ascii="Times New Roman;Times;Serif" w:hAnsi="Times New Roman;Times;Serif"/>
                <w:b w:val="false"/>
                <w:i w:val="false"/>
                <w:caps w:val="false"/>
                <w:smallCaps w:val="false"/>
                <w:sz w:val="24"/>
              </w:rPr>
              <w:t>On</w:t>
            </w:r>
            <w:r>
              <w:rPr>
                <w:rFonts w:ascii="Times New Roman;Times;Serif" w:hAnsi="Times New Roman;Times;Serif"/>
                <w:b w:val="false"/>
                <w:i w:val="false"/>
                <w:caps w:val="false"/>
                <w:smallCaps w:val="false"/>
                <w:sz w:val="20"/>
              </w:rPr>
              <w:t xml:space="preserve"> June 20, 2026, Koti Meka resigned as Chief Financial Officer, and effective June 21, 2026, Jie (Jay) Sheng was appointed as President and Chief Financial Officer. Jerry Wang continues to serve as Chief Executive Officer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Restructuring: The Board size was initially reduced to five members, with Faraday appointing two initial directors to fill vacancies. Following stockholder approval, the Board will expand to seven members, granting Faraday the right to appoint up to two additional directors. Faraday retains the right to proportional board representation so long as it maintains at least 5% beneficial ownership of the Company’s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Transitional Governance Controls: Prior to receiving stockholder approval, the Faraday-appointed Co-CEO will manage all new business affairs and holds the exclusive authority to approve and execute new agreements on behalf of the Company. Legacy business affairs continue to be managed by the current CEO.</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proceeds from the Lead Investor Agreement from Faraday as well as several members of Faraday’s executive management team amounted to $</w:t>
      </w:r>
      <w:bookmarkStart w:id="832" w:name="xdx_907_ecustom--ProceedsFromInvestor_pn"/>
      <w:bookmarkEnd w:id="832"/>
      <w:r>
        <w:rPr>
          <w:rFonts w:ascii="Times New Roman;Times;Serif" w:hAnsi="Times New Roman;Times;Serif"/>
          <w:b w:val="false"/>
          <w:i w:val="false"/>
          <w:caps w:val="false"/>
          <w:smallCaps w:val="false"/>
          <w:sz w:val="20"/>
        </w:rPr>
        <w:t>34.2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Lead Investor Agreement, YT Jia, the Global Chief Executive Officer of Faraday, contributed $</w:t>
      </w:r>
      <w:bookmarkStart w:id="833" w:name="xdx_905_ecustom--ProceedsFromInvestor_c2"/>
      <w:bookmarkEnd w:id="833"/>
      <w:r>
        <w:rPr>
          <w:rFonts w:ascii="Times New Roman;Times;Serif" w:hAnsi="Times New Roman;Times;Serif"/>
          <w:b w:val="false"/>
          <w:i w:val="false"/>
          <w:caps w:val="false"/>
          <w:smallCaps w:val="false"/>
          <w:sz w:val="20"/>
        </w:rPr>
        <w:t>4,000,000.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Lead Investor Agreement, Jerry Wang, the Global Executive Chairman of Faraday and Chief Executive Officer of AIXC, contributed $</w:t>
      </w:r>
      <w:bookmarkStart w:id="834" w:name="xdx_90A_ecustom--ProceedsFromInvestor_c2"/>
      <w:bookmarkEnd w:id="834"/>
      <w:r>
        <w:rPr>
          <w:rFonts w:ascii="Times New Roman;Times;Serif" w:hAnsi="Times New Roman;Times;Serif"/>
          <w:b w:val="false"/>
          <w:i w:val="false"/>
          <w:caps w:val="false"/>
          <w:smallCaps w:val="false"/>
          <w:sz w:val="20"/>
        </w:rPr>
        <w:t>200,000.</w:t>
      </w:r>
    </w:p>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changes to the Lead Investor Agreement during the three months ended June 30, 2026.</w:t>
      </w:r>
    </w:p>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Transition Services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the Company entered into a Transition Services Agreement with Faraday to provide support and management services. During the six months ended June 30, 2026, the Company was charged approximately $</w:t>
      </w:r>
      <w:bookmarkStart w:id="835" w:name="xdx_90E_eus-gaap--RelatedPartyTransactio"/>
      <w:bookmarkEnd w:id="835"/>
      <w:r>
        <w:rPr>
          <w:rFonts w:ascii="Times New Roman;Times;Serif" w:hAnsi="Times New Roman;Times;Serif"/>
          <w:b w:val="false"/>
          <w:i w:val="false"/>
          <w:caps w:val="false"/>
          <w:smallCaps w:val="false"/>
          <w:sz w:val="20"/>
        </w:rPr>
        <w:t>0.6 million in service fees under the Transition Services Agreement. The Company had a prepaid expense balance of $</w:t>
      </w:r>
      <w:bookmarkStart w:id="836" w:name="xdx_907_eus-gaap--PrepaidExpenseCurrent_"/>
      <w:bookmarkEnd w:id="836"/>
      <w:r>
        <w:rPr>
          <w:rFonts w:ascii="Times New Roman;Times;Serif" w:hAnsi="Times New Roman;Times;Serif"/>
          <w:b w:val="false"/>
          <w:i w:val="false"/>
          <w:caps w:val="false"/>
          <w:smallCaps w:val="false"/>
          <w:sz w:val="20"/>
        </w:rPr>
        <w:t>370,055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charges dues under this agreement was $</w:t>
      </w:r>
      <w:bookmarkStart w:id="837" w:name="xdx_901_eus-gaap--OtherLiabilitiesCurren"/>
      <w:bookmarkEnd w:id="837"/>
      <w:r>
        <w:rPr>
          <w:rFonts w:ascii="Times New Roman;Times;Serif" w:hAnsi="Times New Roman;Times;Serif"/>
          <w:b w:val="false"/>
          <w:i w:val="false"/>
          <w:caps w:val="false"/>
          <w:smallCaps w:val="false"/>
          <w:sz w:val="20"/>
        </w:rPr>
        <w:t>1.0 million as of December 31, 2025 and was classified under Related Party Payable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Master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entered into a Master Services Agreement (“MSA”) with FFAI, a related party, pursuant to which the Company may provide consulting, advisory, operational, capital markets, technical, legal, and other support services to FFAI under separately executed statements of work. The MSA has an initial term of one year and automatically renews for successive one-year periods unless terminated in accordance with its terms. Compensation for services provided under the MSA is to be determined pursuant to individual statements of work and generally consists of reimbursement of direct personnel costs, allocated overhead, an 18% service fee, and certain direct expenses. No revenue was recognized under the MSA during the three and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entered into an advisory agreement with Yueting (YT) Jia, a related party and significant stockholder, pursuant to which Mr. Jia serves as Chief Advisor. The agreement provides an annual advisory fee of $</w:t>
      </w:r>
      <w:bookmarkStart w:id="838" w:name="xdx_90A_ecustom--AnnualAdvisoryFee_c2025"/>
      <w:bookmarkEnd w:id="838"/>
      <w:r>
        <w:rPr>
          <w:rFonts w:ascii="Times New Roman;Times;Serif" w:hAnsi="Times New Roman;Times;Serif"/>
          <w:b w:val="false"/>
          <w:i w:val="false"/>
          <w:caps w:val="false"/>
          <w:smallCaps w:val="false"/>
          <w:sz w:val="20"/>
        </w:rPr>
        <w:t>500,000, a target annual performance fee of $</w:t>
      </w:r>
      <w:bookmarkStart w:id="839" w:name="xdx_908_ecustom--AnnualPerformanceFees_c"/>
      <w:bookmarkEnd w:id="839"/>
      <w:r>
        <w:rPr>
          <w:rFonts w:ascii="Times New Roman;Times;Serif" w:hAnsi="Times New Roman;Times;Serif"/>
          <w:b w:val="false"/>
          <w:i w:val="false"/>
          <w:caps w:val="false"/>
          <w:smallCaps w:val="false"/>
          <w:sz w:val="20"/>
        </w:rPr>
        <w:t>500,000, a one-time engagement fee of $</w:t>
      </w:r>
      <w:bookmarkStart w:id="840" w:name="xdx_908_ecustom--EngagementFee_c20251002"/>
      <w:bookmarkEnd w:id="840"/>
      <w:r>
        <w:rPr>
          <w:rFonts w:ascii="Times New Roman;Times;Serif" w:hAnsi="Times New Roman;Times;Serif"/>
          <w:b w:val="false"/>
          <w:i w:val="false"/>
          <w:caps w:val="false"/>
          <w:smallCaps w:val="false"/>
          <w:sz w:val="20"/>
        </w:rPr>
        <w:t>300,000, and potential annual equity awards, subject to board approval and vesting conditions. The agreement has an initial term of three years. During the three and six months ended June 30, 2026, the Company recognized advisory service expenses under this agreement of $</w:t>
      </w:r>
      <w:bookmarkStart w:id="841" w:name="xdx_90D_eus-gaap--InvestmentCompanyGener"/>
      <w:bookmarkEnd w:id="841"/>
      <w:r>
        <w:rPr>
          <w:rFonts w:ascii="Times New Roman;Times;Serif" w:hAnsi="Times New Roman;Times;Serif"/>
          <w:b w:val="false"/>
          <w:i w:val="false"/>
          <w:caps w:val="false"/>
          <w:smallCaps w:val="false"/>
          <w:sz w:val="20"/>
        </w:rPr>
        <w:t>200,001and $</w:t>
      </w:r>
      <w:bookmarkStart w:id="842" w:name="xdx_906_eus-gaap--InvestmentCompanyGener"/>
      <w:bookmarkEnd w:id="842"/>
      <w:r>
        <w:rPr>
          <w:rFonts w:ascii="Times New Roman;Times;Serif" w:hAnsi="Times New Roman;Times;Serif"/>
          <w:b w:val="false"/>
          <w:i w:val="false"/>
          <w:caps w:val="false"/>
          <w:smallCaps w:val="false"/>
          <w:sz w:val="20"/>
        </w:rPr>
        <w:t>400,002, respectively, and had related-party payables of $</w:t>
      </w:r>
      <w:bookmarkStart w:id="843" w:name="xdx_906_eus-gaap--AccountsPayableCurrent"/>
      <w:bookmarkEnd w:id="843"/>
      <w:r>
        <w:rPr>
          <w:rFonts w:ascii="Times New Roman;Times;Serif" w:hAnsi="Times New Roman;Times;Serif"/>
          <w:b w:val="false"/>
          <w:i w:val="false"/>
          <w:caps w:val="false"/>
          <w:smallCaps w:val="false"/>
          <w:sz w:val="20"/>
        </w:rPr>
        <w:t>116,667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Company entered into a consulting services agreement with FF Global Partners LLC effective as of November 1, 2025, a related party, under which FF Global provides strategic planning, capital markets advisory, blockchain and technology consulting, and operational support services. The agreement expires on December 31, 2026 and provides for a monthly consulting fee of $</w:t>
      </w:r>
      <w:bookmarkStart w:id="844" w:name="xdx_905_ecustom--MonthlyConsultingFee_c2"/>
      <w:bookmarkEnd w:id="844"/>
      <w:r>
        <w:rPr>
          <w:rFonts w:ascii="Times New Roman;Times;Serif" w:hAnsi="Times New Roman;Times;Serif"/>
          <w:b w:val="false"/>
          <w:i w:val="false"/>
          <w:caps w:val="false"/>
          <w:smallCaps w:val="false"/>
          <w:sz w:val="20"/>
        </w:rPr>
        <w:t>100,000, performance-based bonuses at the discretion of the Company’s management and Board of Directors, and reimbursement of certain approved business expenses. During the three and six months ended June 30, 2026, the Company recorded related-party consulting expenses of $</w:t>
      </w:r>
      <w:bookmarkStart w:id="845" w:name="xdx_903_eus-gaap--CostsAndExpensesRelate"/>
      <w:bookmarkEnd w:id="845"/>
      <w:r>
        <w:rPr>
          <w:rFonts w:ascii="Times New Roman;Times;Serif" w:hAnsi="Times New Roman;Times;Serif"/>
          <w:b w:val="false"/>
          <w:i w:val="false"/>
          <w:caps w:val="false"/>
          <w:smallCaps w:val="false"/>
          <w:sz w:val="20"/>
        </w:rPr>
        <w:t>300,000 and $</w:t>
      </w:r>
      <w:bookmarkStart w:id="846" w:name="xdx_901_eus-gaap--CostsAndExpensesRelate"/>
      <w:bookmarkEnd w:id="846"/>
      <w:r>
        <w:rPr>
          <w:rFonts w:ascii="Times New Roman;Times;Serif" w:hAnsi="Times New Roman;Times;Serif"/>
          <w:b w:val="false"/>
          <w:i w:val="false"/>
          <w:caps w:val="false"/>
          <w:smallCaps w:val="false"/>
          <w:sz w:val="20"/>
        </w:rPr>
        <w:t>600,000, respectively. As of June 30, 2026, $</w:t>
      </w:r>
      <w:bookmarkStart w:id="847" w:name="xdx_906_eus-gaap--AccountsPayableCurrent"/>
      <w:bookmarkEnd w:id="847"/>
      <w:r>
        <w:rPr>
          <w:rFonts w:ascii="Times New Roman;Times;Serif" w:hAnsi="Times New Roman;Times;Serif"/>
          <w:b w:val="false"/>
          <w:i w:val="false"/>
          <w:caps w:val="false"/>
          <w:smallCaps w:val="false"/>
          <w:sz w:val="20"/>
        </w:rPr>
        <w:t>100,000 was outstanding and was classified under related party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Equity Held at Cost</w:t>
      </w:r>
    </w:p>
    <w:p>
      <w:pPr>
        <w:pStyle w:val="TextBody"/>
        <w:bidi w:val="0"/>
        <w:spacing w:lineRule="auto" w:line="25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invested an aggregate of approximately $</w:t>
      </w:r>
      <w:bookmarkStart w:id="848" w:name="xdx_906_ecustom--AggregateInvestmentAmou"/>
      <w:bookmarkEnd w:id="848"/>
      <w:r>
        <w:rPr>
          <w:rFonts w:ascii="Times New Roman;Times;Serif" w:hAnsi="Times New Roman;Times;Serif"/>
          <w:b w:val="false"/>
          <w:i w:val="false"/>
          <w:caps w:val="false"/>
          <w:smallCaps w:val="false"/>
          <w:sz w:val="20"/>
        </w:rPr>
        <w:t>12.0 million in FFAI through GKA. Upon closing on April 15, 2026, the aggregate subscription amount, including accrued interest, was converted into FFAI Class A common stock and Series C Convertible Preferred Stock. The Company recorded the full aggregate subscription amount of $</w:t>
      </w:r>
      <w:bookmarkStart w:id="849" w:name="xdx_908_ecustom--ParentCompanyEquityHeld"/>
      <w:bookmarkEnd w:id="849"/>
      <w:r>
        <w:rPr>
          <w:rFonts w:ascii="Times New Roman;Times;Serif" w:hAnsi="Times New Roman;Times;Serif"/>
          <w:b w:val="false"/>
          <w:i w:val="false"/>
          <w:caps w:val="false"/>
          <w:smallCaps w:val="false"/>
          <w:sz w:val="20"/>
        </w:rPr>
        <w:t>12.0 million as parent company equity held at cost, which remained the carrying value of the investment as of June 30, 2026. See Note 15 for further details regarding the investment transaction and related 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2020, as a commitment fee, the Company issued warrants to Alpha for the purchase of common stock. As of December 31, 2024, 141 of these warrants remained outstanding and exercisable, and were able to be exercised in whole or in part, at any time before May 22, 2025. These warrants expired, and as of December 31, 2025, none of these warrants remain outstanding and exercisable. During years ended December 31, 2025 and 2024 there were </w:t>
      </w:r>
      <w:bookmarkStart w:id="850" w:name="xdx_90C_eus-gaap--ShareBasedCompensation"/>
      <w:bookmarkStart w:id="851" w:name="xdx_90D_eus-gaap--ShareBasedCompensation"/>
      <w:bookmarkEnd w:id="850"/>
      <w:bookmarkEnd w:id="851"/>
      <w:r>
        <w:rPr>
          <w:rFonts w:ascii="Times New Roman;Times;Serif" w:hAnsi="Times New Roman;Times;Serif"/>
          <w:b w:val="false"/>
          <w:i w:val="false"/>
          <w:caps w:val="false"/>
          <w:smallCaps w:val="false"/>
          <w:sz w:val="20"/>
        </w:rPr>
        <w:t>no exercises of this warrant. This warrant was equity classified as of December 31, 2023 and was reclassified to warrant liabilities during the year ended December 31, 2024 (see Note 8 -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2022, in conjunction with the issuance of a debenture to Alpha, the Company issued to Alpha a warrant to purchase </w:t>
      </w:r>
      <w:bookmarkStart w:id="852" w:name="xdx_90D_eus-gaap--ClassOfWarrantOrRightN"/>
      <w:bookmarkEnd w:id="852"/>
      <w:r>
        <w:rPr>
          <w:rFonts w:ascii="Times New Roman;Times;Serif" w:hAnsi="Times New Roman;Times;Serif"/>
          <w:b w:val="false"/>
          <w:i w:val="false"/>
          <w:caps w:val="false"/>
          <w:smallCaps w:val="false"/>
          <w:sz w:val="20"/>
        </w:rPr>
        <w:t xml:space="preserve">50,000 shares of the Company’s common stock. This warrant may be exercised by Alpha, in whole or in part, on or after June 22, 2023 and at any time before June 22, 2028, subject to certain terms and conditions described in the warrant. During the year ended December 31, 2024, Alpha partially exercised this warrant to purchase </w:t>
      </w:r>
      <w:bookmarkStart w:id="853" w:name="xdx_904_eus-gaap--ShareBasedCompensation"/>
      <w:bookmarkEnd w:id="853"/>
      <w:r>
        <w:rPr>
          <w:rFonts w:ascii="Times New Roman;Times;Serif" w:hAnsi="Times New Roman;Times;Serif"/>
          <w:b w:val="false"/>
          <w:i w:val="false"/>
          <w:caps w:val="false"/>
          <w:smallCaps w:val="false"/>
          <w:sz w:val="20"/>
        </w:rPr>
        <w:t>31,998 shares respectively, of the Company’s common stock at a weighted average exercise price of $</w:t>
      </w:r>
      <w:bookmarkStart w:id="854" w:name="xdx_905_eus-gaap--DebtInstrumentConverti"/>
      <w:bookmarkEnd w:id="854"/>
      <w:r>
        <w:rPr>
          <w:rFonts w:ascii="Times New Roman;Times;Serif" w:hAnsi="Times New Roman;Times;Serif"/>
          <w:b w:val="false"/>
          <w:i w:val="false"/>
          <w:caps w:val="false"/>
          <w:smallCaps w:val="false"/>
          <w:sz w:val="20"/>
        </w:rPr>
        <w:t>13.00, for total cumulative proceeds to the Company of $</w:t>
      </w:r>
      <w:bookmarkStart w:id="855" w:name="xdx_902_eus-gaap--ProceedsFromIssuanceOf"/>
      <w:bookmarkEnd w:id="855"/>
      <w:r>
        <w:rPr>
          <w:rFonts w:ascii="Times New Roman;Times;Serif" w:hAnsi="Times New Roman;Times;Serif"/>
          <w:b w:val="false"/>
          <w:i w:val="false"/>
          <w:caps w:val="false"/>
          <w:smallCaps w:val="false"/>
          <w:sz w:val="20"/>
        </w:rPr>
        <w:t>416,000. During the year ended December 31, 2025, there were no exercises of this warrant. This warrant is included in equity on the Company’s unaudited condensed consolidated balance sheets (see Note 14 – Stockholders’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27, 2024, in conjunction with the issuance of a debenture to Alpha, the Company issued to Alpha, a warrant to purchase </w:t>
      </w:r>
      <w:bookmarkStart w:id="856" w:name="xdx_900_eus-gaap--ClassOfWarrantOrRightN"/>
      <w:bookmarkEnd w:id="856"/>
      <w:r>
        <w:rPr>
          <w:rFonts w:ascii="Times New Roman;Times;Serif" w:hAnsi="Times New Roman;Times;Serif"/>
          <w:b w:val="false"/>
          <w:i w:val="false"/>
          <w:caps w:val="false"/>
          <w:smallCaps w:val="false"/>
          <w:sz w:val="20"/>
        </w:rPr>
        <w:t>18,001 shares of the Company’s common stock, exercisable in whole or in part, until February 27, 2029, subject to certain terms and conditions described in the warrant. This warrant is presented on the balance sheet as an equity classified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2024 as a result of the down-round provision triggered by shares sold in a public offering, the above warrants were repriced from $</w:t>
      </w:r>
      <w:bookmarkStart w:id="857" w:name="xdx_904_eus-gaap--ClassOfWarrantOrRightE"/>
      <w:bookmarkEnd w:id="857"/>
      <w:r>
        <w:rPr>
          <w:rFonts w:ascii="Times New Roman;Times;Serif" w:hAnsi="Times New Roman;Times;Serif"/>
          <w:b w:val="false"/>
          <w:i w:val="false"/>
          <w:caps w:val="false"/>
          <w:smallCaps w:val="false"/>
          <w:sz w:val="20"/>
        </w:rPr>
        <w:t>13.00 per share exercise price to $</w:t>
      </w:r>
      <w:bookmarkStart w:id="858" w:name="xdx_900_eus-gaap--ClassOfWarrantOrRightE"/>
      <w:bookmarkEnd w:id="858"/>
      <w:r>
        <w:rPr>
          <w:rFonts w:ascii="Times New Roman;Times;Serif" w:hAnsi="Times New Roman;Times;Serif"/>
          <w:b w:val="false"/>
          <w:i w:val="false"/>
          <w:caps w:val="false"/>
          <w:smallCaps w:val="false"/>
          <w:sz w:val="20"/>
        </w:rPr>
        <w:t>6.50 per share exercise price. The company recognized an additional deemed dividend of $</w:t>
      </w:r>
      <w:bookmarkStart w:id="859" w:name="xdx_903_ecustom--DeemedDividendArisingFr"/>
      <w:bookmarkEnd w:id="859"/>
      <w:r>
        <w:rPr>
          <w:rFonts w:ascii="Times New Roman;Times;Serif" w:hAnsi="Times New Roman;Times;Serif"/>
          <w:b w:val="false"/>
          <w:i w:val="false"/>
          <w:caps w:val="false"/>
          <w:smallCaps w:val="false"/>
          <w:sz w:val="20"/>
        </w:rPr>
        <w:t>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unaudited condensed consolidated statements of changes in stockholders’ equity. On April 28, 2025, as a result of the down-round provision triggered by the issuance of the 2025 Convertible Note, the warrant was repriced from an exercise price of $</w:t>
      </w:r>
      <w:bookmarkStart w:id="860" w:name="xdx_905_eus-gaap--ClassOfWarrantOrRightE"/>
      <w:bookmarkEnd w:id="860"/>
      <w:r>
        <w:rPr>
          <w:rFonts w:ascii="Times New Roman;Times;Serif" w:hAnsi="Times New Roman;Times;Serif"/>
          <w:b w:val="false"/>
          <w:i w:val="false"/>
          <w:caps w:val="false"/>
          <w:smallCaps w:val="false"/>
          <w:sz w:val="20"/>
        </w:rPr>
        <w:t>6.50 per share to an exercise price of $</w:t>
      </w:r>
      <w:bookmarkStart w:id="861" w:name="xdx_90C_eus-gaap--ClassOfWarrantOrRightE"/>
      <w:bookmarkEnd w:id="861"/>
      <w:r>
        <w:rPr>
          <w:rFonts w:ascii="Times New Roman;Times;Serif" w:hAnsi="Times New Roman;Times;Serif"/>
          <w:b w:val="false"/>
          <w:i w:val="false"/>
          <w:caps w:val="false"/>
          <w:smallCaps w:val="false"/>
          <w:sz w:val="20"/>
        </w:rPr>
        <w:t>5.82 per share. No further down-round provisions were triggered by the July 28, 2025 private placement transaction or the Subscription Agreement as these warrants were at their contractual floor.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partial voluntary conversion of the 2024 Alpha Debenture on September 9, 2024, the Company no longer had sufficient shares to settle the 2024 Alpha Warrant in full until shareholder approval was obtained, and a portion (</w:t>
      </w:r>
      <w:bookmarkStart w:id="862" w:name="xdx_906_eus-gaap--ClassOfWarrantOrRightO"/>
      <w:bookmarkEnd w:id="862"/>
      <w:r>
        <w:rPr>
          <w:rFonts w:ascii="Times New Roman;Times;Serif" w:hAnsi="Times New Roman;Times;Serif"/>
          <w:b w:val="false"/>
          <w:i w:val="false"/>
          <w:caps w:val="false"/>
          <w:smallCaps w:val="false"/>
          <w:sz w:val="20"/>
        </w:rPr>
        <w:t>2,314 warrant shares with a fair value of $</w:t>
      </w:r>
      <w:bookmarkStart w:id="863" w:name="xdx_90A_eus-gaap--FairValueAdjustmentOfW"/>
      <w:bookmarkEnd w:id="863"/>
      <w:r>
        <w:rPr>
          <w:rFonts w:ascii="Times New Roman;Times;Serif" w:hAnsi="Times New Roman;Times;Serif"/>
          <w:b w:val="false"/>
          <w:i w:val="false"/>
          <w:caps w:val="false"/>
          <w:smallCaps w:val="false"/>
          <w:sz w:val="20"/>
        </w:rPr>
        <w:t>14,997) was reclassified to liabilities (see Note 8 – Warrant Liabilities). Shareholder approval was subsequently obtained on October 25, 2024, and as of that date, the Company determined that shareholder approval resulted in equity classification for the warrant again and, accordingly, the Company remeasured the warrant liability to fair value, and reclassified to noncompensatory equity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there were no exercises of this warrant. This warrant is included in equity on the Company’s unaudited consolidated balance sheets (see Note 14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exercise price of the 2022 Alpha Warrant was $</w:t>
      </w:r>
      <w:bookmarkStart w:id="864" w:name="xdx_905_eus-gaap--ClassOfWarrantOrRightE"/>
      <w:bookmarkEnd w:id="864"/>
      <w:r>
        <w:rPr>
          <w:rFonts w:ascii="Times New Roman;Times;Serif" w:hAnsi="Times New Roman;Times;Serif"/>
          <w:b w:val="false"/>
          <w:i w:val="false"/>
          <w:caps w:val="false"/>
          <w:smallCaps w:val="false"/>
          <w:sz w:val="20"/>
        </w:rPr>
        <w:t>6.50 per share, while the exercise price of the 2024 Alpha Warrant was $</w:t>
      </w:r>
      <w:bookmarkStart w:id="865" w:name="xdx_905_eus-gaap--ClassOfWarrantOrRightE"/>
      <w:bookmarkEnd w:id="865"/>
      <w:r>
        <w:rPr>
          <w:rFonts w:ascii="Times New Roman;Times;Serif" w:hAnsi="Times New Roman;Times;Serif"/>
          <w:b w:val="false"/>
          <w:i w:val="false"/>
          <w:caps w:val="false"/>
          <w:smallCaps w:val="false"/>
          <w:sz w:val="20"/>
        </w:rPr>
        <w:t>5.82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in connection with the issuance of a debenture to Chen (see Note 9 – Convertible Debt), the Company issued a liability classified warrant to Chen to purchase </w:t>
      </w:r>
      <w:bookmarkStart w:id="866" w:name="xdx_906_eus-gaap--ClassOfWarrantOrRightN"/>
      <w:bookmarkEnd w:id="866"/>
      <w:r>
        <w:rPr>
          <w:rFonts w:ascii="Times New Roman;Times;Serif" w:hAnsi="Times New Roman;Times;Serif"/>
          <w:b w:val="false"/>
          <w:i w:val="false"/>
          <w:caps w:val="false"/>
          <w:smallCaps w:val="false"/>
          <w:sz w:val="20"/>
        </w:rPr>
        <w:t>36,001 shares of common stock, exercisable until February 27, 2029. On September 6, 2024, as a result of a down-round provision triggered by shares sold in a public offering, the warrant was repriced from an exercise price of $</w:t>
      </w:r>
      <w:bookmarkStart w:id="867" w:name="xdx_90D_eus-gaap--ClassOfWarrantOrRightE"/>
      <w:bookmarkEnd w:id="867"/>
      <w:r>
        <w:rPr>
          <w:rFonts w:ascii="Times New Roman;Times;Serif" w:hAnsi="Times New Roman;Times;Serif"/>
          <w:b w:val="false"/>
          <w:i w:val="false"/>
          <w:caps w:val="false"/>
          <w:smallCaps w:val="false"/>
          <w:sz w:val="20"/>
        </w:rPr>
        <w:t>13.00 per share to an exercise price of $</w:t>
      </w:r>
      <w:bookmarkStart w:id="868" w:name="xdx_900_eus-gaap--ClassOfWarrantOrRightE"/>
      <w:bookmarkEnd w:id="868"/>
      <w:r>
        <w:rPr>
          <w:rFonts w:ascii="Times New Roman;Times;Serif" w:hAnsi="Times New Roman;Times;Serif"/>
          <w:b w:val="false"/>
          <w:i w:val="false"/>
          <w:caps w:val="false"/>
          <w:smallCaps w:val="false"/>
          <w:sz w:val="20"/>
        </w:rPr>
        <w:t>6.50 per share. The warrant was initially liability classified due to an insufficient number of authorized shares to settle the warrant prior to the receipt of shareholder approval, which was subsequently obtained on October 25, 2024. As of that date, the Company determined that shareholder approval resulted in equity classification for the warrant and accordingly, the Company remeasured the warrant liability to fair value, and reclassified to noncompensatory equity classified warrants (see Note 14 – Stockholders’ Equity). The fair value of this warrant was $</w:t>
      </w:r>
      <w:bookmarkStart w:id="869" w:name="xdx_901_ecustom--FairValueOfWarrantLiabi"/>
      <w:bookmarkEnd w:id="869"/>
      <w:r>
        <w:rPr>
          <w:rFonts w:ascii="Times New Roman;Times;Serif" w:hAnsi="Times New Roman;Times;Serif"/>
          <w:b w:val="false"/>
          <w:i w:val="false"/>
          <w:caps w:val="false"/>
          <w:smallCaps w:val="false"/>
          <w:sz w:val="20"/>
        </w:rPr>
        <w:t>565,582 on the issuance date and $</w:t>
      </w:r>
      <w:bookmarkStart w:id="870" w:name="xdx_908_ecustom--FairValueOfWarrantLiabi"/>
      <w:bookmarkEnd w:id="870"/>
      <w:r>
        <w:rPr>
          <w:rFonts w:ascii="Times New Roman;Times;Serif" w:hAnsi="Times New Roman;Times;Serif"/>
          <w:b w:val="false"/>
          <w:i w:val="false"/>
          <w:caps w:val="false"/>
          <w:smallCaps w:val="false"/>
          <w:sz w:val="20"/>
        </w:rPr>
        <w:t>185,531 on the date of reclassification to equity. On April 28, 2025, as a result of the down-round provision triggered by the issuance of the 2025 Convertible Note, the warrant was repriced from an exercise price of $</w:t>
      </w:r>
      <w:bookmarkStart w:id="871" w:name="xdx_905_eus-gaap--ClassOfWarrantOrRightE"/>
      <w:bookmarkEnd w:id="871"/>
      <w:r>
        <w:rPr>
          <w:rFonts w:ascii="Times New Roman;Times;Serif" w:hAnsi="Times New Roman;Times;Serif"/>
          <w:b w:val="false"/>
          <w:i w:val="false"/>
          <w:caps w:val="false"/>
          <w:smallCaps w:val="false"/>
          <w:sz w:val="20"/>
        </w:rPr>
        <w:t>6.50 per share to an exercise price of $</w:t>
      </w:r>
      <w:bookmarkStart w:id="872" w:name="xdx_90A_eus-gaap--ClassOfWarrantOrRightE"/>
      <w:bookmarkEnd w:id="872"/>
      <w:r>
        <w:rPr>
          <w:rFonts w:ascii="Times New Roman;Times;Serif" w:hAnsi="Times New Roman;Times;Serif"/>
          <w:b w:val="false"/>
          <w:i w:val="false"/>
          <w:caps w:val="false"/>
          <w:smallCaps w:val="false"/>
          <w:sz w:val="20"/>
        </w:rPr>
        <w:t>5.82 per share. No further down-round provisions were triggered by the July 28, 2025 private placement transaction or the Subscription Agreement as these warrants were at their contractual floor.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3" w:name="xdx_800_eus-gaap--SegmentReportingDisclo"/>
      <w:bookmarkEnd w:id="873"/>
      <w:r>
        <w:rPr>
          <w:rFonts w:ascii="Times New Roman;Times;Serif" w:hAnsi="Times New Roman;Times;Serif"/>
          <w:b/>
          <w:i w:val="false"/>
          <w:caps w:val="false"/>
          <w:smallCaps w:val="false"/>
          <w:sz w:val="20"/>
        </w:rPr>
        <w:t xml:space="preserve">NOTE 17 — </w:t>
      </w:r>
      <w:bookmarkStart w:id="874" w:name="xdx_826_zB40eC0DrZpk"/>
      <w:bookmarkEnd w:id="874"/>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and reportable segment. This determination is consistent with the manner in which the Company’s Chief Operating Decision Maker (“CODM”) evaluates performance, allocates resources, and reviews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consists of the Company’s Chief Executive Officer and its Chief Financial Officer. The CODM reviews consolidated financial information and does not receive discrete financial information for separate business components. Prior to the Offering (see Note 1 – Organization and Summary of Significant Accounting Policies and Estimates), the CODM consisted of the sole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the Company has concluded that it has </w:t>
      </w:r>
      <w:bookmarkStart w:id="875" w:name="xdx_90B_eus-gaap--NumberOfReportableSegm"/>
      <w:bookmarkStart w:id="876" w:name="xdx_90C_eus-gaap--NumberOfOperatingSegme"/>
      <w:bookmarkEnd w:id="875"/>
      <w:bookmarkEnd w:id="876"/>
      <w:r>
        <w:rPr>
          <w:rFonts w:ascii="Times New Roman;Times;Serif" w:hAnsi="Times New Roman;Times;Serif"/>
          <w:b w:val="false"/>
          <w:i w:val="false"/>
          <w:caps w:val="false"/>
          <w:smallCaps w:val="false"/>
          <w:sz w:val="20"/>
        </w:rPr>
        <w:t>one operating and reportable segment because its financial results are reviewed on a consolidated basis and no component meets the definition of a separate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primarily consist of the development and commercialization of AI-enabled technology products and services, including AI-based trading tools, digital-asset tokenization and embedded AI services, and AI-powered cryptocurrency portfolio management solutions. Prior to the Offering, the Company was an early-stage clinical therapeutics company focused on developing treatments for adult and pediatric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the Board of Directors approved the permanent discontinuation of the Company’s legacy biotechnology business. Prior to finalizing the wind-down plan, management comprehensively evaluated all reasonable strategic alternatives for the biotechnology operations, including a potential outright sale of the related business and intellectual property assets, and determined a staged internal wind-down is in the best long-term interests of the Company and its stockholders. Under ASC 205-20, the legacy biotechnology component fails to satisfy all six mandatory held-for-sale classification criteria as of June 30, 2026, and therefore does not qualify for separate discontinued operations presentation on the consolidated statements of operations. All costs, operating results, assets and liabilities associated with the ongoing wind-down of legacy biotechnology activities remain classified within continuing operations of the Company’s single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performance and allocates resources based on consolidated net income (loss). The CODM reviews the Company’s significant segment expenses, which are its consolidated operating expenses, including research and development, general and administrative, and interest and other expenses, broken out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7" w:name="xdx_8B3_zIIIildladik"/>
      <w:bookmarkStart w:id="878" w:name="xdx_893_eus-gaap--ScheduleOfSegmentRepor"/>
      <w:bookmarkEnd w:id="877"/>
      <w:bookmarkEnd w:id="878"/>
      <w:r>
        <w:rPr>
          <w:rFonts w:ascii="Times New Roman;Times;Serif" w:hAnsi="Times New Roman;Times;Serif"/>
          <w:b w:val="false"/>
          <w:i w:val="false"/>
          <w:caps w:val="false"/>
          <w:smallCaps w:val="false"/>
          <w:sz w:val="20"/>
        </w:rPr>
        <w:t>SCHEDULE OF SEGMENT INFORMATION </w:t>
      </w:r>
    </w:p>
    <w:tbl>
      <w:tblPr>
        <w:tblW w:w="6237" w:type="dxa"/>
        <w:jc w:val="left"/>
        <w:tblInd w:w="0" w:type="dxa"/>
        <w:tblLayout w:type="fixed"/>
        <w:tblCellMar>
          <w:top w:w="0" w:type="dxa"/>
          <w:left w:w="0" w:type="dxa"/>
          <w:bottom w:w="0" w:type="dxa"/>
          <w:right w:w="0" w:type="dxa"/>
        </w:tblCellMar>
      </w:tblPr>
      <w:tblGrid>
        <w:gridCol w:w="3875"/>
        <w:gridCol w:w="60"/>
        <w:gridCol w:w="127"/>
        <w:gridCol w:w="969"/>
        <w:gridCol w:w="61"/>
        <w:gridCol w:w="61"/>
        <w:gridCol w:w="127"/>
        <w:gridCol w:w="862"/>
        <w:gridCol w:w="95"/>
      </w:tblGrid>
      <w:tr>
        <w:trPr/>
        <w:tc>
          <w:tcPr>
            <w:tcW w:w="38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879" w:name="xdx_493_20260101__20260630__us-gaap--Sta"/>
            <w:bookmarkEnd w:id="879"/>
          </w:p>
        </w:tc>
        <w:tc>
          <w:tcPr>
            <w:tcW w:w="10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bookmarkStart w:id="880" w:name="xdx_490_20250101__20250630__us-gaap--Sta"/>
            <w:bookmarkEnd w:id="880"/>
          </w:p>
        </w:tc>
        <w:tc>
          <w:tcPr>
            <w:tcW w:w="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7"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881" w:name="xdx_400_eus-gaap--OperatingCostsAndExpen"/>
            <w:bookmarkEnd w:id="881"/>
          </w:p>
        </w:tc>
      </w:tr>
      <w:tr>
        <w:trPr/>
        <w:tc>
          <w:tcPr>
            <w:tcW w:w="38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2" w:name="xdx_400_eus-gaap--GeneralAndAdministrati"/>
            <w:bookmarkEnd w:id="882"/>
          </w:p>
        </w:tc>
      </w:tr>
      <w:tr>
        <w:trPr/>
        <w:tc>
          <w:tcPr>
            <w:tcW w:w="38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6,416,390</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3,889,464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3" w:name="xdx_40C_eus-gaap--SellingAndMarketingExp"/>
            <w:bookmarkEnd w:id="883"/>
          </w:p>
        </w:tc>
      </w:tr>
      <w:tr>
        <w:trPr/>
        <w:tc>
          <w:tcPr>
            <w:tcW w:w="38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723,937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4" w:name="xdx_40A_eus-gaap--ResearchAndDevelopment"/>
            <w:bookmarkEnd w:id="884"/>
          </w:p>
        </w:tc>
      </w:tr>
      <w:tr>
        <w:trPr/>
        <w:tc>
          <w:tcPr>
            <w:tcW w:w="38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10,145</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5" w:name="xdx_40B_ecustom--CreditLossExpenseShortt"/>
            <w:bookmarkEnd w:id="885"/>
          </w:p>
        </w:tc>
      </w:tr>
      <w:tr>
        <w:trPr/>
        <w:tc>
          <w:tcPr>
            <w:tcW w:w="38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 short-term note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142,574</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6" w:name="xdx_40A_eus-gaap--OperatingExpenses_i01T"/>
            <w:bookmarkEnd w:id="886"/>
          </w:p>
        </w:tc>
      </w:tr>
      <w:tr>
        <w:trPr/>
        <w:tc>
          <w:tcPr>
            <w:tcW w:w="38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7,293,046</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4,408,446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7" w:name="xdx_406_eus-gaap--NonoperatingIncomeExpe"/>
            <w:bookmarkEnd w:id="887"/>
          </w:p>
        </w:tc>
      </w:tr>
      <w:tr>
        <w:trPr/>
        <w:tc>
          <w:tcPr>
            <w:tcW w:w="38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(income), net</w:t>
            </w:r>
            <w:bookmarkStart w:id="888" w:name="xdx_F44_zpeNr1CCshC3"/>
            <w:bookmarkEnd w:id="888"/>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2,973,575</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89" w:name="xdx_40A_eus-gaap--NetIncomeLoss_iNT_di_m"/>
            <w:bookmarkEnd w:id="889"/>
          </w:p>
        </w:tc>
      </w:tr>
      <w:tr>
        <w:trPr/>
        <w:tc>
          <w:tcPr>
            <w:tcW w:w="38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10,266,621</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4,331,588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245"/>
        <w:gridCol w:w="5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90" w:name="xdx_F00_zLcgImUZTM65"/>
            <w:bookmarkEnd w:id="890"/>
            <w:r>
              <w:rPr>
                <w:rFonts w:ascii="Times New Roman;Times;Serif" w:hAnsi="Times New Roman;Times;Serif"/>
                <w:b w:val="false"/>
                <w:i w:val="false"/>
                <w:caps w:val="false"/>
                <w:smallCaps w:val="false"/>
                <w:sz w:val="20"/>
              </w:rPr>
              <w:t>(1)</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91" w:name="xdx_F14_z0IQ2Lc2EG76"/>
            <w:bookmarkEnd w:id="891"/>
            <w:r>
              <w:rPr>
                <w:rFonts w:ascii="Times New Roman;Times;Serif" w:hAnsi="Times New Roman;Times;Serif"/>
                <w:b w:val="false"/>
                <w:i w:val="false"/>
                <w:caps w:val="false"/>
                <w:smallCaps w:val="false"/>
                <w:sz w:val="20"/>
              </w:rPr>
              <w:t>Includes total non-operating expenses and provision for income taxes.</w:t>
            </w:r>
          </w:p>
        </w:tc>
      </w:tr>
    </w:tbl>
    <w:p>
      <w:pPr>
        <w:pStyle w:val="TextBody"/>
        <w:bidi w:val="0"/>
        <w:spacing w:before="0" w:after="0"/>
        <w:ind w:left="0" w:right="0" w:hanging="0"/>
        <w:jc w:val="both"/>
        <w:rPr>
          <w:caps w:val="false"/>
          <w:smallCaps w:val="false"/>
        </w:rPr>
      </w:pPr>
      <w:bookmarkStart w:id="892" w:name="xdx_8AA_zxtjf0YUTn3h"/>
      <w:bookmarkEnd w:id="8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the Company’s financial position based on the consolidated balance sheet and does not review segment-level asset information. Accordingly, no separate segment asset disclosures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3" w:name="xdx_80B_eus-gaap--SubsequentEventsTextBl"/>
      <w:bookmarkEnd w:id="893"/>
      <w:r>
        <w:rPr>
          <w:rFonts w:ascii="Times New Roman;Times;Serif" w:hAnsi="Times New Roman;Times;Serif"/>
          <w:b/>
          <w:i w:val="false"/>
          <w:caps w:val="false"/>
          <w:smallCaps w:val="false"/>
          <w:sz w:val="20"/>
        </w:rPr>
        <w:t xml:space="preserve">NOTE 18 — </w:t>
      </w:r>
      <w:bookmarkStart w:id="894" w:name="xdx_823_zD0IHMjRBRU1"/>
      <w:bookmarkEnd w:id="89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the date these financial statements were available to be issued. The Company is not aware of any other events requiring recognition or disclosure in these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wind-down of its legacy biotechnology business, the Company entered into a Deed of Termination and concurrent Assignment Agreement with UCL Business Limited (“UCLB”), each effective July 9, 2026, pursuant to which: (i) the license agreement dated January 13, 2022, as amended, relating to G-Quadruplex binding molecules and the QN-302 program, was terminated in its entirety; and (ii) the Company assigned to UCLB all related intellectual property rights, including pre-clinical and clinical data, regulatory submissions, and the Investigational New Drug Application filed with the FDA, for a nominal consideration of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a special committee of the Board of Directors approved an initial advance of $</w:t>
      </w:r>
      <w:bookmarkStart w:id="895" w:name="xdx_90D_ecustom--InitialAdvance_c2026071"/>
      <w:bookmarkEnd w:id="895"/>
      <w:r>
        <w:rPr>
          <w:rFonts w:ascii="Times New Roman;Times;Serif" w:hAnsi="Times New Roman;Times;Serif"/>
          <w:b w:val="false"/>
          <w:i w:val="false"/>
          <w:caps w:val="false"/>
          <w:smallCaps w:val="false"/>
          <w:sz w:val="20"/>
        </w:rPr>
        <w:t>250,000 to Faraday Future Intelligent Electric Inc. (“FFAI”), subject to execution of definitive documentation and satisfaction of specified conditions, which the Company funded on July 20, 2026. A second advance of $</w:t>
      </w:r>
      <w:bookmarkStart w:id="896" w:name="xdx_90C_eus-gaap--DebtInstrumentPeriodic"/>
      <w:bookmarkEnd w:id="896"/>
      <w:r>
        <w:rPr>
          <w:rFonts w:ascii="Times New Roman;Times;Serif" w:hAnsi="Times New Roman;Times;Serif"/>
          <w:b w:val="false"/>
          <w:i w:val="false"/>
          <w:caps w:val="false"/>
          <w:smallCaps w:val="false"/>
          <w:sz w:val="20"/>
        </w:rPr>
        <w:t xml:space="preserve">250,000 was funded on July 30, 2026 under the same approval. The advances bear interest at </w:t>
      </w:r>
      <w:bookmarkStart w:id="897" w:name="xdx_905_eus-gaap--DebtInstrumentInterest"/>
      <w:bookmarkEnd w:id="897"/>
      <w:r>
        <w:rPr>
          <w:rFonts w:ascii="Times New Roman;Times;Serif" w:hAnsi="Times New Roman;Times;Serif"/>
          <w:b w:val="false"/>
          <w:i w:val="false"/>
          <w:caps w:val="false"/>
          <w:smallCaps w:val="false"/>
          <w:sz w:val="20"/>
        </w:rPr>
        <w:t xml:space="preserve">10% per annum, with a default rate of </w:t>
      </w:r>
      <w:bookmarkStart w:id="898" w:name="xdx_901_eus-gaap--DebtInstrumentInterest"/>
      <w:bookmarkEnd w:id="898"/>
      <w:r>
        <w:rPr>
          <w:rFonts w:ascii="Times New Roman;Times;Serif" w:hAnsi="Times New Roman;Times;Serif"/>
          <w:b w:val="false"/>
          <w:i w:val="false"/>
          <w:caps w:val="false"/>
          <w:smallCaps w:val="false"/>
          <w:sz w:val="20"/>
        </w:rPr>
        <w:t>15% per annum, are unsecured, and rank pari passu with FFAI’s other unsecured indebtedness. Proceeds are restricted to funding a payment in connection with a sponsorship arrangement involving an affiliate of FFAI.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these financial statements, $</w:t>
      </w:r>
      <w:bookmarkStart w:id="899" w:name="xdx_903_ecustom--OutstandingAmount_c2026"/>
      <w:bookmarkEnd w:id="899"/>
      <w:r>
        <w:rPr>
          <w:rFonts w:ascii="Times New Roman;Times;Serif" w:hAnsi="Times New Roman;Times;Serif"/>
          <w:b w:val="false"/>
          <w:i w:val="false"/>
          <w:caps w:val="false"/>
          <w:smallCaps w:val="false"/>
          <w:sz w:val="20"/>
        </w:rPr>
        <w:t>500,000 was outstanding and no definitive agreement has been executed because the Company and FFAI are negotiating an uncommitted, non-revolving delayed draw credit facility providing for advances of up to $</w:t>
      </w:r>
      <w:bookmarkStart w:id="900" w:name="xdx_903_eus-gaap--PaymentsForAdvanceToAf"/>
      <w:bookmarkEnd w:id="900"/>
      <w:r>
        <w:rPr>
          <w:rFonts w:ascii="Times New Roman;Times;Serif" w:hAnsi="Times New Roman;Times;Serif"/>
          <w:b w:val="false"/>
          <w:i w:val="false"/>
          <w:caps w:val="false"/>
          <w:smallCaps w:val="false"/>
          <w:sz w:val="20"/>
        </w:rPr>
        <w:t>2,000,000 in the aggregate, with each advance subject to separate approval by the special committee. The amounts already advanced would be subsumed within this credit facility. There can be no assurance that a definitive agreement will be executed or that its final terms will be consistent with those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entered into a consulting agreement with Aibot US Operation Inc. (“Aibot”), effective July 16, 2026, pursuant to which Aibot will provide business operations support services, including finance, capital markets, and human resources/legal coordination functions. The agreement has an initial one-year term ending July 15, 2027. In consideration of the services provided, the Company will pay Aibot a monthly consulting fee of $</w:t>
      </w:r>
      <w:bookmarkStart w:id="901" w:name="xdx_90D_eus-gaap--BusinessCombinationAcq"/>
      <w:bookmarkEnd w:id="901"/>
      <w:r>
        <w:rPr>
          <w:rFonts w:ascii="Times New Roman;Times;Serif" w:hAnsi="Times New Roman;Times;Serif"/>
          <w:b w:val="false"/>
          <w:i w:val="false"/>
          <w:caps w:val="false"/>
          <w:smallCaps w:val="false"/>
          <w:sz w:val="20"/>
        </w:rPr>
        <w:t>50,000.</w:t>
      </w:r>
    </w:p>
    <w:p>
      <w:pPr>
        <w:pStyle w:val="TextBody"/>
        <w:bidi w:val="0"/>
        <w:spacing w:before="0" w:after="0"/>
        <w:ind w:left="0" w:right="0" w:hanging="0"/>
        <w:jc w:val="both"/>
        <w:rPr>
          <w:caps w:val="false"/>
          <w:smallCaps w:val="false"/>
        </w:rPr>
      </w:pPr>
      <w:bookmarkStart w:id="902" w:name="xdx_812_zGGZCgz1V4dg"/>
      <w:bookmarkEnd w:id="90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3" w:name="sh_001"/>
      <w:bookmarkEnd w:id="90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interim unaudited condensed consolidated financial statements and related notes included in this Quarterly Report on Form 10-Q (this “Quarterly Report”) and the audited financial statements and notes thereto as of and for the twelve months ended December 31, 2025, which are contained in our Annual Report on Form 10-K filed with the Securities and Exchange Commission (“SEC”) on March 30, 2026. As used in this Quarterly Report, unless the context suggests otherwise, “we,” “us,” “our,” or “AIxC” refer to AIxCrypto Holdings, Inc. In addition to historical information, this discussion and analysis contains forward-looking statements that involve risks, uncertainties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contains forward-looking statements by the Company that involve risks and uncertainties and reflect the Company’s judgment as of the date of this Report. These statements generally relate to future events or the Company’s future financial or operating performance. In some cases, you can identify forward-looking statements because they contain words such as “may,” “will,” “should,” “expects,” “plans,” “anticipates,” “could,” “intends,” “target,” or “continue” or the negative of these words or other similar terms or expressions that concern the Company’s expectations, strategy, plans or intentions. Such forward-looking statements may relate to, among other things, potential future development, testing and launch of products and product candidates. Actual events or results may differ from our expectations due to a number of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factors that we believe could cause actual results to differ from those anticipated or predicted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digital-asset treasury strategy, including exposure to cryptocurrency price volatility and related market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landscape applicable to digital assets, blockchain technologies, payments, and settlement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and scale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and related platform-based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commercialization, and market acceptance of our current and future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merchants, service providers, and strategic relationships, including key commercial counterparties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into new markets, jurisdictions, and operating modalities, including autonomous or unmanned systems, and receipt of necessary regulatory approvals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conditions, customer demand, and pricing trends affecting our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launch, and enhance products and services that meet customer needs on a timely basis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counterparties and our exposure to contractual and commercial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stability, security, and performance of our technology systems, infrastructure, and networks, including cybersecurity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retain, and incentivize qualified personnel and manage growth effectively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financing or capital when needed and on acceptable terms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exposure and the potential impact of legal or regulatory proceedings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and enforcement of our intellectual property and defense against third-party claims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maintain the listing of our Common Stock on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our relationship with Faraday Future Intelligent Electric Inc., our controlling stockholder, including transactions with it and its affiliates and the related concentration and conflict-of-interest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Gold King Arthur Holding Limited’s performance of its obligations under the Entrusted Investment Agreement, under which our investment in Faraday Future securities is held indirectly on our behalf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weaknesses in our internal control over financial reporting and our ability to remediate them recent transitions in our executive officers and the composition of our board of directors and audit committee, and our ability to effect an orderly transition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competitive dynamics and depend on the economic circumstances that may or may not occur in the future or may occur on longer or shorter timelines than anticipated.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in some future periods with the forward-looking statements contained in this Quarterly Report, they may not be predictive of results or developments in other future periods. Any forward-looking statement that we make in this Quarterly Report speaks only as of the date of this Quarterly Report, and we disclaim any intent or obligation to update these forward-looking statements beyond the date of this Quarterly Report, except as required by law. This caution is made under the safe harbor provisions of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filings with the Securities and Exchange Commission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The forward-looking statements speak only as of the date on which they are made, and we undertake no obligation to update such statements to reflect events that occur or circumstances that exist after the date on which they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technology company focused on the commercialization of embodied artificial intelligence (“EAI”), also referred to as physical AI - robots and AI-enabled systems that perceive and act in the physical world, together with software infrastructure for the tokenization of real-world assets (“RWA”). Our objective is to provide compliance-oriented software across the infrastructure, protocol and application layers of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completed an approximately $41 million PIPE financing and subsequently rebranded from Qualigen Therapeutics to AIxCrypto Holdings, Inc. (Nasdaq: AIXC). Following a strategic review, in February 2026 the Company realigned its operations to focus on RWA tokenization, EAI infrastructure and AI Agent products. Subsequent to quarter end, in July 2026, the Company designated RoboShare, an on-demand robot sharing and matchmaking platform, as its top operating priority for the second half of 2026 and began executing a Los Angeles go-to-market plan. RoboShare is expected to be the principal near-term commercialization channel for the Company’s physical AI capabilities. The Company’s RWA tokenization initiative and its other physical AI programs continue in development, with resources sequenced behind RoboShare.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our Board of Directors approved the structured wind-down of our legacy biotechnology business. The wind-down continued during the quarter and subsequent period, and limited residual costs may continue to be incurred. As of June 30, 2026, the biotech component does not satisfy all held-for-sale criteria under ASC 205-20, and all associated operating costs remain classified within continuing operations of our single reportable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Operating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EAI and RoboShare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robotics activities are focused on RoboShare, its commercialization platform through which EAI capabilities are deployed. RoboShare is being developed as an on-demand robot sharing and matchmaking platform intended to connect robot owners with enterprises, educational institutions and other users seeking access to robotic equipment and related services. On June 22, 2026, at Automate 2026, the Company launched RoboShare alongside its Robot Second Life Cycle framework. RoboShare is designed to support on-site robotic service packages, providing customers access to robotic capability without upfront equipment purchases. The broader market for offerings of this type is commonly described as robots-as-a-service; the Company’s initial arrangements are expected to be short-term and individual service engagements rather than recurring subscription contracts. Subsequent to quarter end, the Company elevated RoboShare to its top operating priority for the second half of 2026. The Company’s physical AI technology stack is being designed to allow robotic assets to be discovered, coordinated, monitored and transacted for across their operating life. Faraday Future Intelligent Electric Inc. (“FFAI”), the Company’s majority stockholder, is expected to serve as an initial ecosystem partner; however, no definitive agreement had been executed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opportunity the Company has identified from commercialize its physical AI activities is expected to be realized principally through RoboShare. These arrangements are transactional in nature, and the Company has not established recurring or contracted revenue from them. The Company’s prioritization of RoboShare reflects a change in the commercialization channel and sequencing of its physical AI initiatives, and was not a determination to reduce the scope of those initiatives. The periods in which revenue from these activities may be realized, and the amount of any such revenue, remain subject to significant uncertainty.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Real-World Asset Tokenization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evaluating and developing software infrastructure to support the digitization and on-chain administration of traditional financial and real-world assets A portion of the Company’s equity investment in FFAI is intended to serve as an asset for the Company’s tokenization initiatives. This initiative remains under technical and regulatory evaluation and has not been executed. The Company expects that any near-term revenue from structuring fees, platform licensing or asset administration services would not be material, and has sequenced resources for this initiative behind RoboShare.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Marizyme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entered into a Note Purchase Agreement to assign all outstanding Marizyme loan and creditor claims. On May 14, 2026, the Marizyme notes, with a gross balance of approximately $5.2 million including accrued interest and a net carrying value of $475,844 after credit-loss allowances, were extinguished for $100,000 in cash. The Company recorded a $375,844 loss on settlement for the three and six months ended June 30, 2026. The note receivable and related allowance were removed from the balance sheet, eliminating the Company’s remaining Marizyme note exposure. The assignment did not modify the Company’s contingent royalty rights under the 2024 Co-Development Agreement, and no royalty receivable was recorded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Faraday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amended investment documents executed on April 10 and April 14, 2026, the aggregate investment consideration for the Company’s Faraday Future securities position was increased to $12,002,192, and the transaction closed on April 15, 2026. At closing, GKA received 1,926,337 shares of FFAI Class A common stock, 11,502 shares of FFAI Series C Convertible Preferred Stock and a four-year warrant to purchase up to 1,000,000 shares of FFAI Class A common stock on the Company’s behalf. The securities held indirectly through GKA were classified as parent company equity held at cost at cost within stockholders’ equity as of June 30, 2026. The position is intended to serve as a proof-of-concept asset for the Company’s RWA tokenization strategy; partial tokenization remains subject to technical and regulatory evaluation and had not been executed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and analysis is based on our unaudited condensed consolidated financial statements, which have been prepared in accordance with U.S. GAAP. The preparation of these unaudited condensed consolidated financial statements requires us to make estimates and judgments that affect the reported amounts of assets, liabilities, revenues and expenses and the disclosure of contingent assets and liabilities in our unaudited condensed consolidated financial statements. An accounting policy is deemed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unaudited condensed consolidated financial statements. While the Company’s significant accounting policies and estimates are further outlined in Note 1 - Business and Summary of Significant Accounting Policies and Estimates of the unaudited condensed consolidated financial statements, management considers the accounting for digital assets at fair value, the valuation of warrant liabilities, and the going concern assessment to be critical accounting estimates. These areas involve significant judgments and assumptions about inherently uncertain matters, and changes in these estimates could materially impact the Company’s condensed consolidated financial position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037" w:type="dxa"/>
        <w:jc w:val="left"/>
        <w:tblInd w:w="0" w:type="dxa"/>
        <w:tblLayout w:type="fixed"/>
        <w:tblCellMar>
          <w:top w:w="0" w:type="dxa"/>
          <w:left w:w="0" w:type="dxa"/>
          <w:bottom w:w="0" w:type="dxa"/>
          <w:right w:w="0" w:type="dxa"/>
        </w:tblCellMar>
      </w:tblPr>
      <w:tblGrid>
        <w:gridCol w:w="5435"/>
        <w:gridCol w:w="60"/>
        <w:gridCol w:w="136"/>
        <w:gridCol w:w="1036"/>
        <w:gridCol w:w="87"/>
        <w:gridCol w:w="65"/>
        <w:gridCol w:w="136"/>
        <w:gridCol w:w="987"/>
        <w:gridCol w:w="95"/>
      </w:tblGrid>
      <w:tr>
        <w:trPr/>
        <w:tc>
          <w:tcPr>
            <w:tcW w:w="54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2,868,537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1,394,932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85,715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 short-term note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2,959,325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1,683,747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(2,959,325</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(1,683,747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(4,965</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settlement of short-term note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375,844</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(126,963</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on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984,364</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1,228,280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(4,187,605</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(1,685,417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(4,187,605</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(1,685,417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20,286,192</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1,683,881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from $1.4 million for the three months ended June 30, 2025 to $2.9 million for the three months ended June 30, 2026. This was primarily due to a $529,000 increase in gross wages resulting from increased headcount, a $395,000 increase in director resignation fees, a $393,000 increase in consulting fees, and a $134,000 increase in legal fees. The increase in general and administrative expenses was primarily a result of the deployment of the Company’s change in strategy following the Faraday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from zero for the three months ended June 30, 2025, to approximately $86,000 for the three months ended June 30, 2026. This increase was primarily driven by brand-building and commercialization expenditures in support of the Company’s RWA and EAI initiatives, including resource reallocation toward RoboShare operations, as no sales or marketing activities were conducted during the three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from approximately $18,000 for the three months ended June 30, 2025, to approximately $5,000 for the three months ended June 30, 2026. This decrease was primarily driven by the Board-approved wind-down of legacy biotechnology research and development activities during fiscal 2026, which left only minimal residual expenses recorded for the three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Loss Expense – Short-Term Note Receivable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 short-term note receivable decreased from $271,000 for the three months ended June 30, 2025, to zero for the three months ended June 30, 2026. This decrease was attributable to the settlement of all outstanding Marizyme notes effective May 14, 2026. The Company measures its allowance for credit losses related to Marizyme’s promissory notes under the CECL model based on the expected collectability of outstanding debt balances. Following the full settlement of the Marizyme notes in May 2026, the Company held no remaining exposure to this debt asset during the current quarter, resulting in no credit loss expense recognized for the three months ended June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Change in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experienced a $5.0 thousand gain in other income due to the change in fair value of the warrant liabilities described above. The estimated fair value of warrant liabilities decreased to approximately $67,000 as of June 30, 2026 from approximately $72,000 as of March 31, 2026 primarily due to changes in our stock price and expiration of warrants during the prior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Change in Fair Value of 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no gain or loss on change in fair value of convertible debt for the three months ended June 30, 2026. All outstanding convertible debt instruments were fully settled and extinguished in the prior fiscal quarter.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settlement of short-term note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$375,844 loss on settlement of short-term note receivable in the three months ended June 30, 2026. In May 2026, all Marizyme promissory notes were fully settled for $100,000 cash. After CECL credit allowances, the net carrying amount of the notes totaled $475,844. The loss represents the gap between the asset’s net carrying value and settlement proceeds. This was a one-time loss arising from the complete divestment of the Marizyme debt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from $0.1 million for the three months ended June 30, 2025 to zero for the three months ended June 30, 2026. This change was driven by the full settlement of all convertible debt obligations in the prior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decreased from $142.5 thousand for the three months ended June 30, 2025 to $127.0 thousand for the three months ended June 30, 2026. The decrease was primarily attributable to the full settlement of the Marizyme Notes in May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issuance of 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convertible debt decreased from $0.1 million for the three months ended June 30, 2025 to zero for the three months ended June 30, 2026. The loss was attributable to the issuance of the 2025 Convertible Note during the three months ended June 30, 2025. No new convertible debt instruments were issued during the three months ended June 30, 2026, resulting in no loss on issuance of convertible debt for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on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experienced an approximately $1.0 million loss on digital assets, compared to no change for the three months ended June 30, 2025. The Company did not purchase or sell digital assets during the three months ended June 30, 2026; the change in the digital asset treasury during the quarter was attributable to fair value movements. The Company did not hold any digital assets in the three months ended June 30,2025.</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548" w:type="dxa"/>
        <w:jc w:val="left"/>
        <w:tblInd w:w="0" w:type="dxa"/>
        <w:tblLayout w:type="fixed"/>
        <w:tblCellMar>
          <w:top w:w="0" w:type="dxa"/>
          <w:left w:w="0" w:type="dxa"/>
          <w:bottom w:w="0" w:type="dxa"/>
          <w:right w:w="0" w:type="dxa"/>
        </w:tblCellMar>
      </w:tblPr>
      <w:tblGrid>
        <w:gridCol w:w="5435"/>
        <w:gridCol w:w="60"/>
        <w:gridCol w:w="160"/>
        <w:gridCol w:w="1297"/>
        <w:gridCol w:w="102"/>
        <w:gridCol w:w="77"/>
        <w:gridCol w:w="160"/>
        <w:gridCol w:w="1162"/>
        <w:gridCol w:w="95"/>
      </w:tblGrid>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2" w:type="dxa"/>
            <w:tcBorders/>
            <w:vAlign w:val="center"/>
          </w:tcPr>
          <w:p>
            <w:pPr>
              <w:pStyle w:val="TableContents"/>
              <w:bidi w:val="0"/>
              <w:spacing w:before="0" w:after="283"/>
              <w:jc w:val="center"/>
              <w:rPr>
                <w:caps w:val="false"/>
                <w:smallCaps w:val="false"/>
              </w:rPr>
            </w:pPr>
            <w:r>
              <w:rPr>
                <w:caps w:val="false"/>
                <w:smallCaps w:val="false"/>
              </w:rPr>
              <w:t> </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6,416,390</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3,889,464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723,937</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10,145</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 short-term note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142,574</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7,293,046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4,408,446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(7,293,046</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(4,408,446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(74,625</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change in fair value of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(10,236</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settlement of short-term note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375,844</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182,619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179,667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(429,973</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convertible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2,929,946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2,973,575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(10,266,621</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(4,331,553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(10,266,621</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(4,331,588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 per common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number of shares outstanding,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14,030,150</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1,570,925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from $3.9 million for the six months ended June 30, 2025 to $6.4 million for the six months ended June 30, 2026. This was primarily due to a $1.2 million increase in gross wages, a $712,000 increase in seminar and marketing fees, and a $553,000 increase in master service fees. The increase in general and administrative expenses was primarily a result of the deployment of the Company’s change in strategy following the Faraday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from zero for the six months ended June 30, 2025, to approximately $724,000 for the six months ended June 30, 2026. In 2026 the Company began marketing campaigns related to increasing brand awareness for its real-world asset tokenization and embodied AI Infrastructure activities, including commercialization support for RoboShare, whereas no sales or marketing activities were conducted during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from approximately $51,000 for the six months ended June 30, 2025, to approximately $10,000 for the six months ended June 30, 2026. Legacy biotechnology research and development activities were already scaled back in 2025 due to insufficient funding. The Board-approved wind-down of such development work in fiscal 2026 contributed to minimal residual R&amp;D expenses for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Loss Expense – Short-Term Note Receivable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expense – short-term note receivable decreased from $468,000 for the six months ended June 30, 2025, to approximately $143,000 for the six months ended June 30, 2026. This decrease is attributable to the settlement of all outstanding Marizyme notes effective May 14, 2026. The Company measures its allowance for credit losses related to Marizyme’s promissory notes under the CECL model based on the expected collectability of outstanding debt balances. The Company recorded incremental credit loss expense in the early portion of the current six-month period prior to the May 14, 2026 settlement. Once the Marizyme notes were fully settled mid-period, no additional credit loss accruals were required for the remainder of the six months ended June 30, 2026, lowering total credit loss expense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Change in Fair Value of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experienced a $0.1 million gain in other income due to the change in fair value of the warrant liabilities described above. The estimated fair value of warrant liabilities decreased to approximately $67,000 as of June 30, 2026 from $142,000 as of December 31, 2025 primarily due to changes in our stock price and expiration of warrants during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Change in Fair Value of 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experienced an approximately $10,000 gain on change in fair value of convertible debt as a result of repayment of the outstanding debt, compared an approximately $38,000 gain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settlement of short-term note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$375,844 loss on settlement of short-term note receivable in the six months ended June 30, 2026. In May 2026, all Marizyme promissory notes were fully settled for $100,000 cash. After CECL credit allowances, the net carrying amount of the notes totaled $475,844. The loss represents the gap between the asset’s net carrying value and settlement proceeds. This is a one-time loss arising from the complete divestment of the Marizyme debt position.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Impairment of intangible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$183,000 in impairment of intangible assets during the six months ended June 30, 2026 compared to no impairment recorded during the six months ended June 30, 2025. During 2026 the Company wrote off some software development costs that had been capitalized, which did not occur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from $0.2 million for the six months ended June 30, 2025 to zero for the six months ended June 30, 2026. This change was driven by the full settlement of all convertible debt obligations in the prior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$0.4 million in interest income during the six months ended June 30, 2026 compared to $0.3 million in interest income during the six months ended June 30, 2025. The increase was due to interest accrued on the Marizyme Notes, which increased significantly in the year ended December 31, 2025, as well as interest recorded on our money market accounts.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issuance of 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convertible debt decreased from $0.1 million for the six months ended June 30, 2025 to zero for the six months ended June 30, 2026. The loss was attributable to the issuance of the 2025 Convertible Note during the six months ended June 30, 2025. No new convertible debt instruments were issued during the six months ended June 30, 2026, resulting in no loss on issuance of convertible debt for the current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on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experienced an approximately $2.9 million loss on digital assets, compared to no change for the six months ended June 30, 2025. The Company did not hold any digital assets in the six months ended June 30,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position remains weak. It has incurred recurring operating losses, with an accumulated deficit of $150.3 million as of June 30, 2026, and expects to continue incurring losses subsequent to the balance sheet date. Net cash used in operating activities was $7.9 million for the six months ended June 30, 2026 and $7.0 million for the year ended December 31, 2025.</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approximately $0.6 million in cash and cash equivalents. In addition to cash and cash equivalents, the Company held exchange-traded digital assets with an aggregate carrying value of approximately $5.2 million. These exchange-traded digital assets may be monetized over time to support operations, but are subject to significant market price volatility and are not classified as cash equivalents.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 decreased to approximately $1.7 million as of June 30, 2026 from approximately $3.3 million as of December 31, 2025. The balance consists of approximately $1.3 million in accounts payable — primarily $700,000 owed to the University of Louisville Research Foundation, $140,000 to Faraday Futures, and $100,000 to FF Global Partners LLC, with the remainder relating to professional services and other vendors — plus approximately $0.2 million of related-party payables, approximately $129,000 of accrued expenses and other current liabilities, and approximately $67,000 in warrant liabilities. Total operating expenses declined to approximately $3.0 million for the three months ended June 30, 2026 from approximately $4.3 million in the first quarter of 2026, as management continues to execute cost normalization measures to preserve liquidity. The Company had no outstanding indebtness for borrowed money at June 30,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have net losses and negative cash flow from operations, which will challenge our near-term liquidity. Our digital-asset treasury strategy and RoboShare operations are newly established, and there are no guarantees that either will generate revenue or provide sufficient liquidity. Notwithstanding the June 22, 2026 public launch of RoboShare, the Company has not yet generated operating revenue from the platform. Our nearest commercial milestone is the first RoboShare rental delivery, targeted for August 2026; the timing of delivery and associated revenue recognition remain subject to execution risk.</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fully repaid the remaining $132,000 principal balance of its convertible debt. There were no new financing activities during the three months ended June 30, 2026, and the Company issued no new common shares during the quarter.</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to manage liquidity constraints include continued operating expense discipline, targeted monetization of digital asset holdings as needed, the planned commercialization of the Company’s physical AI activities through RoboShare, and prudent utilization of the equity purchase facility only upon satisfaction of all applicable conditions. However, the Company’s limited current cash balance, the absence of committed alternative financing, volatility in digital asset valuations, and the lack of recurring operating revenue collectively raise substantial doubt regarding our ability to continue as a going concern for the one-year period following the date that condensed consolidated financial statements were issued.</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we will continue as a going concern. The financial statements do not include any adjustments that would be necessary should we be unable to continue as a going concern, and therefore be required to liquidate our assets and discharge our liabilities in other than the normal course of business and at amounts that may differ from those reflected in the accompanying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material contractual obligations that are not fully recorded on our unaudited condensed consolidated balance sheets or fully disclosed in the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significant sources and uses of cash for the periods set forth below:</w:t>
      </w:r>
    </w:p>
    <w:p>
      <w:pPr>
        <w:pStyle w:val="TextBody"/>
        <w:bidi w:val="0"/>
        <w:spacing w:before="0" w:after="0"/>
        <w:ind w:left="0" w:right="0" w:firstLine="720"/>
        <w:jc w:val="both"/>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570"/>
        <w:gridCol w:w="60"/>
        <w:gridCol w:w="125"/>
        <w:gridCol w:w="1010"/>
        <w:gridCol w:w="80"/>
        <w:gridCol w:w="60"/>
        <w:gridCol w:w="125"/>
        <w:gridCol w:w="905"/>
        <w:gridCol w:w="95"/>
      </w:tblGrid>
      <w:tr>
        <w:trPr/>
        <w:tc>
          <w:tcPr>
            <w:tcW w:w="25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(7,939,909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(2,687,507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1,316,530</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(1,518,500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(12,132,000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3,363,000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(18,755,379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(843,007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operating activities used approximately $7.9 million of cash, primarily resulting from a net loss of $10.3 million. Cash flows from operating activities were positively impacted by adjustments including $2.9 million net loss on digital assets, an approximately $112,000 decrease in prepaid expenses and other assets, $0.4 million loss on settlement of short-term note receivable, $0.3 million payments made using digital assets, $0.2 million impairment of intangible assets, a $0.1 million provision for credit losses on short-term notes receivable, and an approximately $27,000 increase in accounts payable. Cash flows from operating activities were negatively impacted by adjustments including a $1.4 million decrease in related party payables, accrued interest on short-term notes receivable of $0.3 million, an approximately $75,000 favorable change in the fair value of warrant liabilities, a gain on the change in fair value of convertible debt of approximately $10,000, and a negligible $7,000 decrease in accrued expenses and other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operating activities used approximately $2.7 million of cash, primarily resulting from a net loss of $4.3 million. Cash flows from operating activities were positively impacted by adjustments including a $1.2 million decrease in prepaid expenses and other assets, a $0.5 million provision for credit losses of short-term notes receivable, a $0.2 million increase in accrued expenses and other current liabilities, $0.2 million amortization of penalty on promissory note, $0.1 million loss on issuance of convertible debt, $20,000 legal expenses related to convertible debt issuance, and immaterial stock-based compensation. Cash flows from operating activities were negatively impacted by adjustments including accrued interest on short-term notes receivable of $0.3 million, a $0.2 million decrease in accounts payable, and a $55,000 gain on change in fair value of warrant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net cash provided by investing activities was approximately $1.3 million. The inflows were primarily driven by $2.1 million proceeds from sales of digital assets and $0.1 million cash received from settlement of short-term note receivable. These cash inflows were partially offset by $0.6 million spent on the purchase of intangible assets and $0.3 million used to purchase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net cash used in investing activities totaled $1.5 million, arising entirely from the issuance of short-term note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six months ended June 30, 2026 was approximately $12.1 million, which was primarily driven by $12.0 million parent company equity held at cost and $132,000 the repayment of 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2025 was $3.4 million. The majority of inflows came from $3.3 million proceeds generated by issuance of promissory notes, supplemented by $0.2 million proceeds from convertible debt issuance. These cash inflows were partially offset by $0.1 million cash outflows for convertible debt repayment.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4" w:name="sh_002"/>
      <w:bookmarkEnd w:id="904"/>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5" w:name="sh_003"/>
      <w:bookmarkEnd w:id="905"/>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Rules 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participation of our principal executive officer and principal financial officer, management evaluated the effectiveness of our disclosure controls and procedures, as defined in Rules 13a-15(e) and 15d-15(e) under the Exchange Act, as of June 30, 2026. Based on this evaluation, management concluded that our disclosure controls and procedures were not effective at the reasonable assurance level as of that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the following material weaknesses: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insufficient number of accounting personnel to adequately segregate duties.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designed and implemented effective Information Technology General Controls (“ITGC”) related to access controls for our financial accounting system.</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formalized documentation of processes and controls that could be evaluated for proper design and implementation.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resource constraints, we are currently unable to employ additional personnel to remediate these material weaknesses. We do not expect remediation until we obtain additional funding to strengthen our accounting department.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20, 2026, Koti Meka resigned as Chief Financial Officer, and effective June 21, 2026, Jie (Jay) Sheng was appointed as Chief Financial Officer. The composition of the audit committee also changed during the quarter, including the appointment of a new chair. Because the Chief Financial Officer and the audit committee have significant roles in the Company’s internal control over financial reporting, these changes are reasonably likely to affect its internal control over financial reporting. These changes did not remediate the material weaknesses described above, which continued to exist as of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were no changes in the Company’s internal control over financial reporting during the quarter ended June 30, 2026 that have materially affected, or are reasonably likely to materially affect, the Company’s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06" w:name="sh_004"/>
      <w:bookmarkEnd w:id="906"/>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7" w:name="sh_005"/>
      <w:bookmarkEnd w:id="907"/>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our Chief Executive Officer, Jiawei (Jerry) Wang, received a “Wells Notice” from the staff of the Securities and Exchange Commission (the “SEC” ). Subsequently, on June 30, 2025, Mr. YT Jia, who has been appointed as our Chief Advisor, also received a Wells Notice from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notices state that the SEC staff has made a preliminary determination to recommend filing an enforcement action against Mr. Wang and Mr. Jia in their individual capacities. The alleged violations involve various anti-fraud provisions of the federal securities laws pertaining to purported false or misleading statements in connection with Faraday Future Intelligent Electric Inc.’s 2021 PIPE and SPAC listing, relating to (i) related party transactions, and (ii) Mr. Jia’s role.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staff’s recommendation for an enforcement action may seek an injunction or cease-and-desist order, civil monetary penalties, disgorgement, or other equitable relief. The SEC may also seek a formal bar preventing Mr. Wang and Mr. Jia from serving as an officer or director of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Wells Notice is neither a formal charge of wrongdoing nor a final determination that the recipient has violated any law. It is a preliminary determination by the SEC staff to recommend to the Commissioners of the SEC that a civil enforcement action or administrative proceeding be brought. If the SEC determines to seek an enforcement action, it must proceed through a formal legal process, during which the individuals could defend themselves.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both Mr. Wang and Mr. Jia submitted formal responses to the SEC outlining why they believed an enforcement action is unwarranted. On March 18, 2026, the SEC’s Division of Enforcement issued letters directly to Faraday Future Intelligent Electric, Inc., Mr. Wang and Mr. Jia stating that it does not intend to recommend an enforcement action. The Division of Enforcement noted that the letters must in no way be construed as indicating that the party has been exonerated or that no action may ultimately result from the staff’s investigation.</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8" w:name="sh_006"/>
      <w:bookmarkEnd w:id="908"/>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reputation, results of operations and financial condition, as well as the price of its stock, can be affected by a number of factors, whether currently known or unknown, including those described in Part I, Item 1A of the Company’s Annual Report on Form 10-K for the fiscal year ended December 31, 2025 under the heading “Risk Factors.” When any one or more of these risks materialize, the Company’s business, reputation, results of operations and financial condition, as well as the price of its stock, can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there have been no material changes to the risk factors previously disclosed in Part I, Item 1A of the Company’s Annual Report on Form 10-K for the fiscal year ended December 31, 2025 under the heading “Risk Factors.” The following risk factors should be read together with those previously disclosed risk factors. Additional risks and uncertainties not currently known to the Company, or that the Company currently deems immaterial, may also materially and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substantial portion of our capital is committed to an investment in Faraday Future Intelligent Electric Inc., which is also our majority stockholder and which we hold indirectly, exposing us to concentration and counterparty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committed a substantial portion of our capital to an investment in the securities of Faraday Future Intelligent Electric Inc. (“FFAI”), which is also our Lead Investor and controls significant board and operational appointments. We hold this investment indirectly through a third party, Gold King Arthur Holding Limited (“GKA”), which we have entrusted to purchase, hold, and dispose of FFAI securities on our behalf under an Entrusted Investment Agreement. As a result, our financial condition and results of operations are materially dependent on a single investee that is also our controlling Lead Investor, and we do not hold the invested securities 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hold this investment through GKA rather than directly, we depend on GKA’s performance under the Entrusted Investment Agreement and do not hold a direct security interest in the underlying FFAI securities. If GKA or FFAI fails to perform, or if the value of the FFAI securities declines, we may be unable to recover our investment,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recently launched RoboShare platform is new and unproven, and may not achieve market adoption or generate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launched RoboShare, a platform for on-demand robot rentals, as part of our embodied AI and robot ecosystem strategy. This offering is newly introduced and has not yet generated material revenue or established a user base. Its success depends on market adoption, technological performance, and evolving regulatory conditions, none of which can be assured. If RoboShare does not achieve sufficient adoption, or if its development or operation encounters technical, commercial, or regulatory obstacles, our ability to generate revenue from it may be materially impaired,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9" w:name="sh_007"/>
      <w:bookmarkEnd w:id="909"/>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0" w:name="sh_008"/>
      <w:bookmarkEnd w:id="910"/>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1" w:name="sh_009"/>
      <w:bookmarkEnd w:id="911"/>
      <w:r>
        <w:rPr>
          <w:rFonts w:ascii="Times New Roman;Times;Serif" w:hAnsi="Times New Roman;Times;Serif"/>
          <w:b/>
          <w:i w:val="false"/>
          <w:caps w:val="false"/>
          <w:smallCaps w:val="false"/>
          <w:sz w:val="20"/>
        </w:rPr>
        <w:t>ITEM 4. MINE SAFETY DISCLOSURES</w:t>
      </w:r>
    </w:p>
    <w:p>
      <w:pPr>
        <w:pStyle w:val="TextBody"/>
        <w:bidi w:val="0"/>
        <w:spacing w:before="0" w:after="0"/>
        <w:ind w:left="1109" w:right="0" w:hanging="11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2" w:name="sh_010"/>
      <w:bookmarkEnd w:id="912"/>
      <w:r>
        <w:rPr>
          <w:rFonts w:ascii="Times New Roman;Times;Serif" w:hAnsi="Times New Roman;Times;Serif"/>
          <w:b/>
          <w:i w:val="false"/>
          <w:caps w:val="false"/>
          <w:smallCaps w:val="false"/>
          <w:sz w:val="20"/>
        </w:rPr>
        <w:t>ITEM 5. OTHER INFORMATION</w:t>
      </w:r>
    </w:p>
    <w:p>
      <w:pPr>
        <w:pStyle w:val="TextBody"/>
        <w:bidi w:val="0"/>
        <w:spacing w:before="0" w:after="0"/>
        <w:ind w:left="1109" w:right="0" w:hanging="11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Trading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 director or officer of the Company </w:t>
      </w:r>
      <w:bookmarkStart w:id="913" w:name="xdx_900_eecd--NonRule10b51ArrAdoptedFlag"/>
      <w:bookmarkStart w:id="914" w:name="xdx_902_eecd--Rule10b51ArrAdoptedFlag_db"/>
      <w:bookmarkEnd w:id="913"/>
      <w:bookmarkEnd w:id="914"/>
      <w:r>
        <w:rPr>
          <w:rFonts w:ascii="Times New Roman;Times;Serif" w:hAnsi="Times New Roman;Times;Serif"/>
          <w:b w:val="false"/>
          <w:i w:val="false"/>
          <w:caps w:val="false"/>
          <w:smallCaps w:val="false"/>
          <w:sz w:val="20"/>
        </w:rPr>
        <w:t xml:space="preserve">adopted or </w:t>
      </w:r>
      <w:bookmarkStart w:id="915" w:name="xdx_90D_eecd--NonRule10b51ArrTrmntdFlag_"/>
      <w:bookmarkStart w:id="916" w:name="xdx_90F_eecd--Rule10b51ArrTrmntdFlag_dbF"/>
      <w:bookmarkEnd w:id="915"/>
      <w:bookmarkEnd w:id="916"/>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7" w:name="sh_011"/>
      <w:bookmarkEnd w:id="91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9"/>
        <w:gridCol w:w="60"/>
        <w:gridCol w:w="9276"/>
      </w:tblGrid>
      <w:tr>
        <w:trPr/>
        <w:tc>
          <w:tcPr>
            <w:tcW w:w="86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amended.</w:t>
              </w:r>
            </w:hyperlink>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amended.</w:t>
              </w:r>
            </w:hyperlink>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6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879" w:type="dxa"/>
        <w:jc w:val="left"/>
        <w:tblInd w:w="0" w:type="dxa"/>
        <w:tblLayout w:type="fixed"/>
        <w:tblCellMar>
          <w:top w:w="0" w:type="dxa"/>
          <w:left w:w="0" w:type="dxa"/>
          <w:bottom w:w="0" w:type="dxa"/>
          <w:right w:w="0" w:type="dxa"/>
        </w:tblCellMar>
      </w:tblPr>
      <w:tblGrid>
        <w:gridCol w:w="1280"/>
        <w:gridCol w:w="1155"/>
        <w:gridCol w:w="1444"/>
      </w:tblGrid>
      <w:tr>
        <w:trPr/>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c>
          <w:tcPr>
            <w:tcW w:w="259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w:t>
            </w:r>
          </w:p>
        </w:tc>
      </w:tr>
      <w:tr>
        <w:trPr/>
        <w:tc>
          <w:tcPr>
            <w:tcW w:w="1280" w:type="dxa"/>
            <w:tcBorders/>
            <w:vAlign w:val="center"/>
          </w:tcPr>
          <w:p>
            <w:pPr>
              <w:pStyle w:val="TableContents"/>
              <w:bidi w:val="0"/>
              <w:spacing w:before="0" w:after="283"/>
              <w:jc w:val="both"/>
              <w:rPr>
                <w:caps w:val="false"/>
                <w:smallCaps w:val="false"/>
              </w:rPr>
            </w:pPr>
            <w:r>
              <w:rPr>
                <w:caps w:val="false"/>
                <w:smallCaps w:val="false"/>
              </w:rPr>
              <w:t> </w:t>
            </w:r>
          </w:p>
        </w:tc>
        <w:tc>
          <w:tcPr>
            <w:tcW w:w="1155" w:type="dxa"/>
            <w:tcBorders/>
            <w:vAlign w:val="center"/>
          </w:tcPr>
          <w:p>
            <w:pPr>
              <w:pStyle w:val="TableContents"/>
              <w:bidi w:val="0"/>
              <w:spacing w:before="0" w:after="283"/>
              <w:jc w:val="both"/>
              <w:rPr>
                <w:caps w:val="false"/>
                <w:smallCaps w:val="false"/>
              </w:rPr>
            </w:pPr>
            <w:r>
              <w:rPr>
                <w:caps w:val="false"/>
                <w:smallCaps w:val="false"/>
              </w:rPr>
              <w:t> </w:t>
            </w:r>
          </w:p>
        </w:tc>
        <w:tc>
          <w:tcPr>
            <w:tcW w:w="14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both"/>
              <w:rPr>
                <w:caps w:val="false"/>
                <w:smallCaps w:val="false"/>
              </w:rPr>
            </w:pPr>
            <w:r>
              <w:rPr>
                <w:caps w:val="false"/>
                <w:smallCaps w:val="false"/>
              </w:rPr>
              <w:t> </w:t>
            </w:r>
          </w:p>
        </w:tc>
        <w:tc>
          <w:tcPr>
            <w:tcW w:w="1155" w:type="dxa"/>
            <w:tcBorders/>
            <w:vAlign w:val="center"/>
          </w:tcPr>
          <w:p>
            <w:pPr>
              <w:pStyle w:val="TableContents"/>
              <w:bidi w:val="0"/>
              <w:spacing w:before="0" w:after="283"/>
              <w:jc w:val="both"/>
              <w:rPr>
                <w:caps w:val="false"/>
                <w:smallCaps w:val="false"/>
              </w:rPr>
            </w:pPr>
            <w:r>
              <w:rPr>
                <w:caps w:val="false"/>
                <w:smallCaps w:val="false"/>
              </w:rPr>
              <w:t> </w:t>
            </w:r>
          </w:p>
        </w:tc>
        <w:tc>
          <w:tcPr>
            <w:tcW w:w="144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both"/>
              <w:rPr>
                <w:caps w:val="false"/>
                <w:smallCaps w:val="false"/>
              </w:rPr>
            </w:pPr>
            <w:r>
              <w:rPr>
                <w:caps w:val="false"/>
                <w:smallCaps w:val="false"/>
              </w:rPr>
              <w:t> </w:t>
            </w:r>
          </w:p>
        </w:tc>
        <w:tc>
          <w:tcPr>
            <w:tcW w:w="1155" w:type="dxa"/>
            <w:tcBorders/>
            <w:vAlign w:val="center"/>
          </w:tcPr>
          <w:p>
            <w:pPr>
              <w:pStyle w:val="TableContents"/>
              <w:bidi w:val="0"/>
              <w:spacing w:before="0" w:after="283"/>
              <w:jc w:val="both"/>
              <w:rPr>
                <w:caps w:val="false"/>
                <w:smallCaps w:val="false"/>
              </w:rPr>
            </w:pPr>
            <w:r>
              <w:rPr>
                <w:caps w:val="false"/>
                <w:smallCaps w:val="false"/>
              </w:rPr>
              <w:t> </w:t>
            </w:r>
          </w:p>
        </w:tc>
        <w:tc>
          <w:tcPr>
            <w:tcW w:w="1444"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485"/>
        <w:gridCol w:w="7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0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Jie Sheng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Jie Sheng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 and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485"/>
        <w:gridCol w:w="43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918" w:name="ex31-1.htm"/>
      <w:bookmarkStart w:id="919" w:name="ksex311"/>
      <w:bookmarkEnd w:id="918"/>
      <w:bookmarkEnd w:id="91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Jerry Wang</w:t>
      </w:r>
      <w:r>
        <w:rPr>
          <w:rFonts w:ascii="Times New Roman;Times;Serif" w:hAnsi="Times New Roman;Times;Serif"/>
          <w:b w:val="false"/>
          <w:i w:val="false"/>
          <w:caps w:val="false"/>
          <w:smallCaps w:val="false"/>
          <w:sz w:val="20"/>
        </w:rPr>
        <w:t xml:space="preserve"> ,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Form 10-Q of AIxCrypto Holdings,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75"/>
        <w:gridCol w:w="31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Jerry Wang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Jerry Wang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920" w:name="ex31-2.htm"/>
      <w:bookmarkStart w:id="921" w:name="ksex312"/>
      <w:bookmarkEnd w:id="920"/>
      <w:bookmarkEnd w:id="921"/>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Jie Sheng,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Form 10-Q of AIxCrypto Holdings,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75"/>
        <w:gridCol w:w="35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Jie Sheng</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Jie Sheng</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President and Chief Financial Officer and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922" w:name="ex32-1.htm"/>
      <w:bookmarkStart w:id="923" w:name="ksex321"/>
      <w:bookmarkEnd w:id="922"/>
      <w:bookmarkEnd w:id="9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Quarterly Report of AIxCrypto Holdings, Inc. (the “Company”) on Form 10-Q for the six months ended June 30, 2026, as filed with the Securities and Exchange Commission (the “SEC”) on or about the date hereof (the “Report”), I, </w:t>
      </w:r>
      <w:r>
        <w:rPr>
          <w:rFonts w:ascii="Times New Roman;Times;Serif" w:hAnsi="Times New Roman;Times;Serif"/>
          <w:b w:val="false"/>
          <w:i/>
          <w:caps w:val="false"/>
          <w:smallCaps w:val="false"/>
          <w:sz w:val="20"/>
        </w:rPr>
        <w:t>Jerry Wang</w:t>
      </w:r>
      <w:r>
        <w:rPr>
          <w:rFonts w:ascii="Times New Roman;Times;Serif" w:hAnsi="Times New Roman;Times;Serif"/>
          <w:b w:val="false"/>
          <w:i w:val="false"/>
          <w:caps w:val="false"/>
          <w:smallCaps w:val="false"/>
          <w:sz w:val="20"/>
        </w:rPr>
        <w:t xml:space="preserve"> , Chief Executive Officer of the Company, certify, pursuant to 18 U.S.C. Section 1350, as adopted pursuant to Section 906 of the Sarbanes-Oxley Act of 2002,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has been provided to the Company and will be retained by the Company and furnished to the SEC or its staff upon request.</w:t>
      </w:r>
    </w:p>
    <w:p>
      <w:pPr>
        <w:pStyle w:val="TextBody"/>
        <w:bidi w:val="0"/>
        <w:spacing w:before="0" w:after="0"/>
        <w:ind w:left="0" w:right="0" w:firstLine="720"/>
        <w:jc w:val="both"/>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75"/>
        <w:gridCol w:w="31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Jerry Wang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Jerry Wang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Director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924" w:name="ex32-2.htm"/>
      <w:bookmarkStart w:id="925" w:name="ksex322"/>
      <w:bookmarkEnd w:id="924"/>
      <w:bookmarkEnd w:id="9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AIxCrypto Holdings, Inc. (the “Company”) on Form 10-Q for the six months ended June 30, 2026, as filed with the Securities and Exchange Commission (the “SEC”) on or about the date hereof (the “Report”), I, Jie Sheng, Chief Financial Officer of the Company, certify, pursuant to 18 U.S.C. Section 1350, as adopted pursuant to Section 906 of the Sarbanes-Oxley Act of 2002,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has been provided to the Company and will be retained by the Company and furnished to the SEC or its staff upon request.</w:t>
      </w:r>
    </w:p>
    <w:p>
      <w:pPr>
        <w:pStyle w:val="TextBody"/>
        <w:bidi w:val="0"/>
        <w:spacing w:before="0" w:after="0"/>
        <w:ind w:left="0" w:right="0" w:firstLine="720"/>
        <w:jc w:val="both"/>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75"/>
        <w:gridCol w:w="31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8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Jie Sheng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8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Jie Sheng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Financial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24771</Words>
  <Characters>139106</Characters>
  <CharactersWithSpaces>165788</CharactersWithSpaces>
  <Paragraphs>6324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